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color w:val="auto"/>
          <w:spacing w:val="76"/>
          <w:sz w:val="56"/>
          <w:szCs w:val="56"/>
          <w:highlight w:val="none"/>
          <w:lang w:eastAsia="zh-CN"/>
        </w:rPr>
      </w:pPr>
      <w:r>
        <w:rPr>
          <w:rFonts w:hint="eastAsia" w:ascii="宋体" w:hAnsi="宋体" w:cs="宋体"/>
          <w:b/>
          <w:color w:val="auto"/>
          <w:spacing w:val="76"/>
          <w:sz w:val="56"/>
          <w:szCs w:val="56"/>
          <w:highlight w:val="none"/>
          <w:lang w:eastAsia="zh-CN"/>
        </w:rPr>
      </w:r>
      <w:r/>
    </w:p>
    <w:p>
      <w:pPr>
        <w:jc w:val="center"/>
        <w:spacing w:line="360" w:lineRule="auto"/>
        <w:rPr>
          <w:rFonts w:hint="eastAsia" w:ascii="宋体" w:hAnsi="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t xml:space="preserve">询价通知书</w:t>
      </w:r>
      <w:r/>
    </w:p>
    <w:p>
      <w:pPr>
        <w:jc w:val="center"/>
        <w:spacing w:line="360" w:lineRule="auto"/>
        <w:rPr>
          <w:rFonts w:hint="eastAsia" w:ascii="宋体" w:hAnsi="宋体" w:cs="宋体"/>
          <w:b/>
          <w:color w:val="auto"/>
          <w:spacing w:val="76"/>
          <w:sz w:val="22"/>
          <w:szCs w:val="22"/>
          <w:highlight w:val="none"/>
          <w:lang w:eastAsia="zh-CN"/>
        </w:rPr>
      </w:pPr>
      <w:r>
        <w:rPr>
          <w:rFonts w:hint="eastAsia" w:ascii="宋体" w:hAnsi="宋体" w:cs="宋体"/>
          <w:b/>
          <w:color w:val="auto"/>
          <w:spacing w:val="76"/>
          <w:sz w:val="22"/>
          <w:szCs w:val="22"/>
          <w:highlight w:val="none"/>
          <w:lang w:eastAsia="zh-CN"/>
        </w:rPr>
      </w:r>
      <w:r/>
    </w:p>
    <w:p>
      <w:pPr>
        <w:ind w:firstLine="640"/>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项目编号：</w:t>
      </w:r>
      <w:r>
        <w:rPr>
          <w:rFonts w:hint="eastAsia" w:ascii="宋体" w:hAnsi="宋体" w:cs="宋体"/>
          <w:color w:val="auto"/>
          <w:sz w:val="32"/>
          <w:highlight w:val="none"/>
          <w:lang w:eastAsia="zh-CN"/>
        </w:rPr>
        <w:t xml:space="preserve">JSZC-320382-JSRY-X2025-0026</w:t>
      </w: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r/>
    </w:p>
    <w:p>
      <w:pPr>
        <w:spacing w:line="360" w:lineRule="auto"/>
        <w:rPr>
          <w:rFonts w:ascii="宋体" w:hAnsi="宋体" w:eastAsia="宋体" w:cs="宋体"/>
          <w:color w:val="auto"/>
          <w:sz w:val="32"/>
          <w:highlight w:val="none"/>
        </w:rPr>
      </w:pPr>
      <w:r>
        <w:rPr>
          <w:rFonts w:ascii="宋体" w:hAnsi="宋体" w:eastAsia="宋体" w:cs="宋体"/>
          <w:color w:val="auto"/>
          <w:sz w:val="32"/>
          <w:highlight w:val="none"/>
        </w:rPr>
      </w:r>
      <w:r/>
    </w:p>
    <w:p>
      <w:pPr>
        <w:ind w:firstLine="640"/>
        <w:spacing w:line="36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2025年中央农业防灾减灾和水利救灾资金（防灾减灾第三批）农作物重大病虫害防控项目</w:t>
      </w:r>
      <w:r/>
    </w:p>
    <w:p>
      <w:pPr>
        <w:spacing w:line="360" w:lineRule="auto"/>
        <w:rPr>
          <w:rFonts w:ascii="宋体" w:hAnsi="宋体" w:eastAsia="宋体" w:cs="宋体"/>
          <w:color w:val="auto"/>
          <w:sz w:val="32"/>
          <w:highlight w:val="none"/>
        </w:rPr>
      </w:pPr>
      <w:r>
        <w:rPr>
          <w:rFonts w:ascii="宋体" w:hAnsi="宋体" w:eastAsia="宋体" w:cs="宋体"/>
          <w:color w:val="auto"/>
          <w:sz w:val="32"/>
          <w:highlight w:val="none"/>
        </w:rPr>
      </w:r>
      <w:r/>
    </w:p>
    <w:p>
      <w:pPr>
        <w:ind w:firstLine="640"/>
        <w:spacing w:line="360" w:lineRule="auto"/>
        <w:rPr>
          <w:rFonts w:hint="eastAsia" w:ascii="宋体" w:hAnsi="宋体" w:eastAsia="宋体" w:cs="宋体"/>
          <w:color w:val="auto"/>
          <w:sz w:val="44"/>
          <w:highlight w:val="none"/>
          <w:lang w:val="en-US"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val="en-US" w:eastAsia="zh-CN"/>
        </w:rPr>
        <w:t xml:space="preserve">邳州市农业农村局</w:t>
      </w:r>
      <w:r/>
    </w:p>
    <w:p>
      <w:pPr>
        <w:pStyle w:val="800"/>
        <w:ind w:left="0"/>
        <w:spacing w:line="360" w:lineRule="auto"/>
        <w:rPr>
          <w:rFonts w:ascii="宋体" w:hAnsi="宋体" w:eastAsia="宋体" w:cs="宋体"/>
          <w:color w:val="auto"/>
          <w:sz w:val="44"/>
          <w:highlight w:val="none"/>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1811655</wp:posOffset>
                </wp:positionH>
                <wp:positionV relativeFrom="paragraph">
                  <wp:posOffset>274955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LOGO"/>
                        <pic:cNvPicPr>
                          <a:picLocks noChangeAspect="1"/>
                        </pic:cNvPicPr>
                        <pic:nvPr/>
                      </pic:nvPicPr>
                      <pic:blipFill>
                        <a:blip r:embed="rId16"/>
                        <a:stretch/>
                      </pic:blipFill>
                      <pic:spPr bwMode="auto">
                        <a:xfrm>
                          <a:off x="2684145" y="5427345"/>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42.7pt;mso-position-horizontal:absolute;mso-position-vertical-relative:text;margin-top:21.6pt;mso-position-vertical:absolute;width:158.8pt;height:154.2pt;mso-wrap-distance-left:9.0pt;mso-wrap-distance-top:0.0pt;mso-wrap-distance-right:9.0pt;mso-wrap-distance-bottom:0.0pt;" stroked="false">
                <v:path textboxrect="0,0,0,0"/>
                <w10:wrap type="square"/>
                <v:imagedata r:id="rId16" o:title=""/>
              </v:shape>
            </w:pict>
          </mc:Fallback>
        </mc:AlternateContent>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280"/>
        <w:spacing w:line="36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采购代理机构：江苏瑞阳工程咨询有限公司</w:t>
      </w:r>
      <w:r/>
    </w:p>
    <w:p>
      <w:pPr>
        <w:jc w:val="center"/>
        <w:spacing w:line="0" w:lineRule="atLeast"/>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二〇二五年十二月</w:t>
      </w:r>
      <w:r/>
    </w:p>
    <w:p>
      <w:pPr>
        <w:jc w:val="center"/>
        <w:spacing w:line="0" w:lineRule="atLeast"/>
        <w:rPr>
          <w:rFonts w:hint="eastAsia" w:ascii="宋体" w:hAnsi="宋体" w:cs="宋体"/>
          <w:color w:val="auto"/>
          <w:sz w:val="32"/>
          <w:highlight w:val="none"/>
          <w:lang w:val="en-US" w:eastAsia="zh-CN"/>
        </w:rPr>
        <w:sectPr>
          <w:headerReference w:type="default" r:id="rId9"/>
          <w:footerReference w:type="default" r:id="rId11"/>
          <w:footerReference w:type="even" r:id="rId12"/>
          <w:footerReference w:type="first" r:id="rId13"/>
          <w:footnotePr/>
          <w:endnotePr/>
          <w:type w:val="nextPage"/>
          <w:pgSz w:w="11906" w:h="16838" w:orient="portrait"/>
          <w:pgMar w:top="1270" w:right="1400" w:bottom="1270" w:left="1400" w:header="851" w:footer="992" w:gutter="0"/>
          <w:cols w:num="1" w:sep="0" w:space="720" w:equalWidth="1"/>
          <w:docGrid w:linePitch="360"/>
          <w:titlePg/>
        </w:sectPr>
      </w:pPr>
      <w:r>
        <w:rPr>
          <w:rFonts w:hint="eastAsia" w:ascii="宋体" w:hAnsi="宋体" w:cs="宋体"/>
          <w:color w:val="auto"/>
          <w:sz w:val="32"/>
          <w:highlight w:val="none"/>
          <w:lang w:val="en-US" w:eastAsia="zh-CN"/>
        </w:rPr>
      </w:r>
      <w:r/>
    </w:p>
    <w:p>
      <w:pPr>
        <w:jc w:val="center"/>
        <w:spacing w:line="360" w:lineRule="auto"/>
        <w:rPr>
          <w:rFonts w:hint="eastAsia" w:ascii="仿宋" w:hAnsi="仿宋" w:eastAsia="仿宋"/>
          <w:color w:val="auto"/>
          <w:sz w:val="24"/>
          <w:highlight w:val="none"/>
        </w:rPr>
      </w:pPr>
      <w:r>
        <w:rPr>
          <w:rFonts w:hint="eastAsia" w:ascii="宋体" w:hAnsi="宋体" w:eastAsia="宋体" w:cs="宋体"/>
          <w:b/>
          <w:color w:val="auto"/>
          <w:sz w:val="44"/>
          <w:highlight w:val="none"/>
        </w:rPr>
        <w:t xml:space="preserve">询价通知书</w:t>
      </w:r>
      <w:r/>
    </w:p>
    <w:p>
      <w:pPr>
        <w:jc w:val="cente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JSZC-320382-JSRY-X2025-0026</w:t>
      </w:r>
      <w:r/>
    </w:p>
    <w:p>
      <w:pPr>
        <w:keepLines w:val="0"/>
        <w:keepNext w:val="0"/>
        <w:pageBreakBefore w:val="0"/>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w:t>
      </w:r>
      <w:r/>
    </w:p>
    <w:p>
      <w:pPr>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江苏瑞阳工程咨询有限公司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2025年中央农业防灾减灾和水利救灾资金（防灾减灾第三批）农作物重大病虫害防控项目</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rPr>
        <w:t xml:space="preserve">采取询价采购方式进行采购。欢迎符合条件的供应商参加询价活动。 </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邳州市农业农村局</w:t>
      </w:r>
      <w:r/>
    </w:p>
    <w:p>
      <w:pPr>
        <w:numPr>
          <w:ilvl w:val="0"/>
          <w:numId w:val="0"/>
        </w:numPr>
        <w:jc w:val="left"/>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2025年中央农业防灾减灾和水利救灾资金（防灾减灾第三批）农作物重大病虫害防控项目</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ascii="宋体" w:hAnsi="宋体" w:cs="宋体"/>
          <w:color w:val="auto"/>
          <w:sz w:val="24"/>
          <w:szCs w:val="24"/>
          <w:highlight w:val="none"/>
          <w:lang w:eastAsia="zh-CN"/>
        </w:rPr>
        <w:t xml:space="preserve">JSZC-320382-JSRY-X2025-0026</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四、采购邀请：通过发布公告的方式邀请符合相应资格条件的供应商参与询价采购活动。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五、采购方式：采用询价采购方式。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六、供应商资格条件：见询价公告（项目编号：</w:t>
      </w:r>
      <w:r>
        <w:rPr>
          <w:rFonts w:hint="eastAsia" w:ascii="宋体" w:hAnsi="宋体" w:cs="宋体"/>
          <w:color w:val="auto"/>
          <w:sz w:val="24"/>
          <w:szCs w:val="24"/>
          <w:highlight w:val="none"/>
          <w:u w:val="single"/>
          <w:lang w:eastAsia="zh-CN"/>
        </w:rPr>
        <w:t xml:space="preserve">JSZC-320382-JSRY-X2025-0026</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七、采购预算（采购项目预算金额）：见《询价通知书》附件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八、采购需求：见《询价通知书》附件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cs="宋体"/>
          <w:color w:val="auto"/>
          <w:sz w:val="24"/>
          <w:szCs w:val="24"/>
          <w:highlight w:val="none"/>
          <w:lang w:eastAsia="zh-CN"/>
        </w:rPr>
        <w:t xml:space="preserve">拟签订的合同文本</w:t>
      </w:r>
      <w:r>
        <w:rPr>
          <w:rFonts w:hint="eastAsia" w:ascii="宋体" w:hAnsi="宋体" w:eastAsia="宋体" w:cs="宋体"/>
          <w:color w:val="auto"/>
          <w:sz w:val="24"/>
          <w:szCs w:val="24"/>
          <w:highlight w:val="none"/>
        </w:rPr>
        <w:t xml:space="preserve">：见《询价通知书》附件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.《拟签订的合同文本》。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供应商报价为要约，</w:t>
      </w:r>
      <w:r>
        <w:rPr>
          <w:rFonts w:hint="eastAsia" w:ascii="宋体" w:hAnsi="宋体" w:cs="宋体"/>
          <w:color w:val="auto"/>
          <w:sz w:val="24"/>
          <w:szCs w:val="24"/>
          <w:highlight w:val="none"/>
          <w:lang w:eastAsia="zh-CN"/>
        </w:rPr>
        <w:t xml:space="preserve">江苏瑞阳工程咨询有限公司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江苏瑞阳工程咨询有限公司</w:t>
      </w:r>
      <w:r>
        <w:rPr>
          <w:rFonts w:hint="eastAsia" w:ascii="宋体" w:hAnsi="宋体" w:eastAsia="宋体" w:cs="宋体"/>
          <w:color w:val="auto"/>
          <w:sz w:val="24"/>
          <w:szCs w:val="24"/>
          <w:highlight w:val="none"/>
        </w:rPr>
        <w:t xml:space="preserve">认为必要时可重新进行询价采购或采取其它方式采购。</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参加询价采购活动的供应商，应当按照询价通知书的规定一次报出不得更改的价格。</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按照《询价报价表》要求填写报价表，若某项不能满足要求须在《偏离表》中注明，否则视为报价全部满足本通知要求。</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询价保证金</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十一、供应商提交询价保证金</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询价保证金交纳数额和形式：不需交纳。</w:t>
      </w:r>
      <w:r/>
    </w:p>
    <w:p>
      <w:pPr>
        <w:ind w:left="0"/>
        <w:jc w:val="cente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第三章 响应文件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十二、提交响应文件要求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“CA数字证书”的获取：</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采购代理机构将数据电文形式的招标文件加载至电子招标投标交易平台，供潜在</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下载或者查阅。</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售价：免费。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；或进入徐州政府采购网（网址：http://czj.xz.gov.cn/Home/HomeIndex）--业务工作--用户登录，点击“苏采云”进入系统），按照要求通过互联网方式提交响应文件。</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、操作系统至少win7以上，建议使用win10操作系统。</w:t>
      </w:r>
      <w:r/>
    </w:p>
    <w:p>
      <w:pPr>
        <w:keepLines w:val="0"/>
        <w:keepNext w:val="0"/>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（二）响应文件提交的截止时间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2025年12月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日09：30</w:t>
      </w:r>
      <w:r>
        <w:rPr>
          <w:rFonts w:hint="eastAsia" w:ascii="宋体" w:hAnsi="宋体" w:eastAsia="宋体" w:cs="宋体"/>
          <w:color w:val="auto"/>
          <w:sz w:val="24"/>
          <w:szCs w:val="24"/>
          <w:highlight w:val="none"/>
        </w:rPr>
        <w:t xml:space="preserve">，在截止时间后提交的响应文件为无效文件，将被拒收。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提交时间：响应文件提交的截止时间（</w:t>
      </w:r>
      <w:r>
        <w:rPr>
          <w:rFonts w:hint="eastAsia" w:ascii="宋体" w:hAnsi="宋体" w:cs="宋体"/>
          <w:b/>
          <w:bCs/>
          <w:color w:val="auto"/>
          <w:sz w:val="24"/>
          <w:szCs w:val="24"/>
          <w:highlight w:val="none"/>
          <w:lang w:eastAsia="zh-CN"/>
        </w:rPr>
        <w:t xml:space="preserve">2025年12月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日09：30</w:t>
      </w:r>
      <w:r>
        <w:rPr>
          <w:rFonts w:hint="eastAsia" w:ascii="宋体" w:hAnsi="宋体" w:eastAsia="宋体" w:cs="宋体"/>
          <w:color w:val="auto"/>
          <w:sz w:val="24"/>
          <w:szCs w:val="24"/>
          <w:highlight w:val="none"/>
        </w:rPr>
        <w:t xml:space="preserve">）前。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（四）响应文件开启时间：</w:t>
      </w:r>
      <w:r>
        <w:rPr>
          <w:rFonts w:hint="eastAsia" w:ascii="宋体" w:hAnsi="宋体" w:cs="宋体"/>
          <w:b/>
          <w:bCs/>
          <w:color w:val="auto"/>
          <w:sz w:val="24"/>
          <w:szCs w:val="24"/>
          <w:highlight w:val="none"/>
          <w:lang w:eastAsia="zh-CN"/>
        </w:rPr>
        <w:t xml:space="preserve">2025年12月</w:t>
      </w:r>
      <w:r>
        <w:rPr>
          <w:rFonts w:hint="eastAsia" w:ascii="宋体" w:hAnsi="宋体" w:cs="宋体"/>
          <w:b/>
          <w:bCs/>
          <w:color w:val="auto"/>
          <w:sz w:val="24"/>
          <w:szCs w:val="24"/>
          <w:highlight w:val="none"/>
          <w:lang w:val="en-US" w:eastAsia="zh-CN"/>
        </w:rPr>
        <w:t xml:space="preserve">9</w:t>
      </w:r>
      <w:bookmarkStart w:id="5" w:name="_GoBack"/>
      <w:r/>
      <w:bookmarkEnd w:id="5"/>
      <w:r>
        <w:rPr>
          <w:rFonts w:hint="eastAsia" w:ascii="宋体" w:hAnsi="宋体" w:cs="宋体"/>
          <w:b/>
          <w:bCs/>
          <w:color w:val="auto"/>
          <w:sz w:val="24"/>
          <w:szCs w:val="24"/>
          <w:highlight w:val="none"/>
          <w:lang w:eastAsia="zh-CN"/>
        </w:rPr>
        <w:t xml:space="preserve">日09：30</w:t>
      </w:r>
      <w:r>
        <w:rPr>
          <w:rFonts w:hint="eastAsia" w:ascii="宋体" w:hAnsi="宋体" w:eastAsia="宋体" w:cs="宋体"/>
          <w:b/>
          <w:bCs/>
          <w:color w:val="auto"/>
          <w:sz w:val="24"/>
          <w:szCs w:val="24"/>
          <w:highlight w:val="none"/>
        </w:rPr>
        <w:t xml:space="preserve">。</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（五）响应文件开启地点：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“苏采云”系统（网址： http://jszfcg.jsczt.cn/）“开标大厅”或进入徐州政府采购网（网址：http://czj.xz.gov.cn/Home/HomeIndex）-业务工作-用户登录，点击“苏采云”进入系统“开标大厅”。</w:t>
      </w:r>
      <w:r/>
    </w:p>
    <w:p>
      <w:pPr>
        <w:pStyle w:val="974"/>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74"/>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提交截止时间前未完成响应文件传输的，视为撤回响应文件。提交截止时间后送达的响应文件，“苏采云”系统应当拒收。</w:t>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（七）不接受不按要求加盖公章（电子签章）的响应文件。电子签章相关要求见“苏采云”系统。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（十）相关说明: 供应商在“苏采云”系统中提交响应文件的时间即为数据电文（响应文件，下同）的发送时间和接收时间。</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十三、响应文件编制要求</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（一）基本要求</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提交的响应文件的密封、签署、盖章要求：</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2、签署要求：</w:t>
      </w:r>
      <w:r>
        <w:rPr>
          <w:rFonts w:hint="eastAsia" w:ascii="宋体" w:hAnsi="宋体" w:eastAsia="宋体" w:cs="宋体"/>
          <w:color w:val="auto"/>
          <w:sz w:val="24"/>
          <w:szCs w:val="24"/>
          <w:highlight w:val="none"/>
          <w:lang w:val="en-US" w:eastAsia="zh-CN"/>
        </w:rPr>
        <w:t xml:space="preserve">特别提醒：询价通知书中如需“被授权代表签字或盖章”，供应商可打印成文档，签字或盖章后再扫描上传，最后再电子签章。见《询价通知书》附件中相关格式要求。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3、盖章要求：</w:t>
      </w:r>
      <w:r>
        <w:rPr>
          <w:rFonts w:hint="eastAsia" w:ascii="宋体" w:hAnsi="宋体" w:eastAsia="宋体" w:cs="宋体"/>
          <w:color w:val="auto"/>
          <w:sz w:val="24"/>
          <w:szCs w:val="24"/>
          <w:highlight w:val="none"/>
          <w:lang w:val="en-US" w:eastAsia="zh-CN"/>
        </w:rPr>
        <w:t xml:space="preserve">见《询价通知书》附件中相关格式要求。供应商须通过“苏采云”系统提供的政府采购客户端工具（使用“CA数字证书”）加盖电子签章。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（二）通过“苏采云”系统提交政府采购客户端工具导出加密的响应文件（后缀名为zip）。响应文件不得超过150M！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1、供应商应当按照《询价通知书》的要求编制响应文件，并对其提交的响应文件的真实性、合法性承担法律责任。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2、采购人索取成交供应商的响应文件，须在双方签订政府采购合同后，由采购代理机构提供给采购人。</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《询价报价表》（加盖电子签章，政府采购客户端工具输入报价自动生成）；</w:t>
      </w:r>
      <w:r/>
    </w:p>
    <w:p>
      <w:pPr>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所报产品的环境标志产品认证证书原件的扫描件（如有）。</w:t>
      </w:r>
      <w:r/>
    </w:p>
    <w:p>
      <w:pPr>
        <w:keepLines w:val="0"/>
        <w:keepNext w:val="0"/>
        <w:pageBreakBefore w:val="0"/>
        <w:spacing w:line="360" w:lineRule="auto"/>
        <w:widowControl/>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环境标志产品认证证书原件的扫描件是否符合要求，采购人对响应文件的有效性、完整性和响应程度进行审查时查询中国政府采购网（www.ccgp.gov.cn）相关内容后确定。</w:t>
      </w:r>
      <w:r>
        <w:rPr>
          <w:rFonts w:hint="eastAsia" w:ascii="宋体" w:hAnsi="宋体" w:cs="宋体"/>
          <w:color w:val="auto"/>
          <w:sz w:val="24"/>
          <w:szCs w:val="24"/>
          <w:highlight w:val="none"/>
          <w:lang w:val="en-US" w:eastAsia="zh-CN"/>
        </w:rPr>
        <w:t xml:space="preserve"> </w:t>
      </w:r>
      <w:r/>
    </w:p>
    <w:p>
      <w:pPr>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所报产品的节能产品认证证书原件的扫描件（如有）。</w:t>
      </w:r>
      <w:r/>
    </w:p>
    <w:p>
      <w:pPr>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注：</w:t>
      </w:r>
      <w:r/>
    </w:p>
    <w:p>
      <w:pPr>
        <w:numPr>
          <w:ilvl w:val="0"/>
          <w:numId w:val="1"/>
        </w:numPr>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所报产品属于《节能产品政府采购品目清单》（由财政部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发展改革委印发）范围的，响应文件中提供（如有）所报产品的国家确定的认证机构出具的、处于有效期之内（即“提交响应文件截止时间”当天在有效期之内）的节能产品认证证书原件的扫描件。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节能产品认证证书原件的扫描件是否符合要求，采购人对响应文件的有效性、完整性和响应程度进行审查时查询中国政府采购网（www.ccgp.gov.cn）相关内容后确定。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4、供应商认为需要提供的其他资料的扫描件（如有）。</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（二）资格条件（</w:t>
      </w:r>
      <w:r>
        <w:rPr>
          <w:rFonts w:hint="eastAsia" w:ascii="宋体" w:hAnsi="宋体" w:cs="宋体"/>
          <w:b/>
          <w:color w:val="auto"/>
          <w:sz w:val="24"/>
          <w:szCs w:val="24"/>
          <w:highlight w:val="none"/>
          <w:lang w:val="en-US" w:eastAsia="zh-CN"/>
        </w:rPr>
        <w:t xml:space="preserve">1-7项</w:t>
      </w:r>
      <w:r>
        <w:rPr>
          <w:rFonts w:hint="eastAsia" w:ascii="宋体" w:hAnsi="宋体" w:eastAsia="宋体" w:cs="宋体"/>
          <w:b/>
          <w:color w:val="auto"/>
          <w:sz w:val="24"/>
          <w:szCs w:val="24"/>
          <w:highlight w:val="none"/>
        </w:rPr>
        <w:t xml:space="preserve">必须提供，否则响应无效）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、供应商合法有效的法人营业执照扫描件，或事业单位法人证书扫描件，或民办非企业单位登记证书扫描件或具有法定代表人委托的分支机构营业执照扫描件（以上证明文件提供原件的扫描件，加盖电子签章）；</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供应商为分支机构的必须同时提供总公司的针对本项目的授权，授权书应详细明确，包括响应的项目范围、授权期限、授权使用的相关资料、双方的权利和义务等。</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bCs/>
          <w:color w:val="auto"/>
          <w:sz w:val="24"/>
          <w:highlight w:val="none"/>
        </w:rPr>
        <w:t xml:space="preserve">财务状况报告（即提供</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的本项目开标</w:t>
      </w:r>
      <w:r>
        <w:rPr>
          <w:rFonts w:hint="eastAsia" w:ascii="宋体" w:hAnsi="宋体" w:eastAsia="宋体" w:cs="Times New Roman"/>
          <w:bCs/>
          <w:color w:val="auto"/>
          <w:sz w:val="24"/>
          <w:highlight w:val="none"/>
        </w:rPr>
        <w:t xml:space="preserve">时间前6个月内</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不含开标当月）</w:t>
      </w:r>
      <w:r>
        <w:rPr>
          <w:rFonts w:hint="eastAsia" w:ascii="宋体" w:hAnsi="宋体" w:eastAsia="宋体" w:cs="Times New Roman"/>
          <w:bCs/>
          <w:color w:val="auto"/>
          <w:sz w:val="24"/>
          <w:highlight w:val="none"/>
        </w:rPr>
        <w:t xml:space="preserve">任何时间的资产负债表、利润表各一份</w:t>
      </w:r>
      <w:r>
        <w:rPr>
          <w:rFonts w:hint="eastAsia" w:ascii="宋体" w:hAnsi="宋体" w:eastAsia="宋体" w:cs="Times New Roman"/>
          <w:b/>
          <w:bCs w:val="0"/>
          <w:color w:val="auto"/>
          <w:sz w:val="24"/>
          <w:highlight w:val="none"/>
        </w:rPr>
        <w:t xml:space="preserve">或</w:t>
      </w:r>
      <w:r>
        <w:rPr>
          <w:rFonts w:hint="eastAsia" w:ascii="宋体" w:hAnsi="宋体" w:eastAsia="宋体" w:cs="Times New Roman"/>
          <w:bCs/>
          <w:color w:val="auto"/>
          <w:sz w:val="24"/>
          <w:highlight w:val="none"/>
        </w:rPr>
        <w:t xml:space="preserve">提供</w:t>
      </w:r>
      <w:r>
        <w:rPr>
          <w:rFonts w:hint="eastAsia" w:ascii="宋体" w:hAnsi="宋体" w:cs="Times New Roman"/>
          <w:bCs/>
          <w:color w:val="auto"/>
          <w:sz w:val="24"/>
          <w:highlight w:val="none"/>
          <w:lang w:eastAsia="zh-CN"/>
        </w:rPr>
        <w:t xml:space="preserve">供应商</w:t>
      </w:r>
      <w:r>
        <w:rPr>
          <w:rFonts w:hint="eastAsia" w:ascii="宋体" w:hAnsi="宋体" w:cs="Times New Roman"/>
          <w:bCs/>
          <w:color w:val="auto"/>
          <w:sz w:val="24"/>
          <w:highlight w:val="none"/>
          <w:lang w:val="en-US" w:eastAsia="zh-CN"/>
        </w:rPr>
        <w:t xml:space="preserve">2024</w:t>
      </w:r>
      <w:r>
        <w:rPr>
          <w:rFonts w:hint="eastAsia" w:ascii="宋体" w:hAnsi="宋体" w:eastAsia="宋体" w:cs="Times New Roman"/>
          <w:bCs/>
          <w:color w:val="auto"/>
          <w:sz w:val="24"/>
          <w:highlight w:val="none"/>
        </w:rPr>
        <w:t xml:space="preserve">年度财务报告</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报告至少包含资产负债表、利润表、现金流量表、所有者权益增减变动表、会计报表附注）</w:t>
      </w:r>
      <w:r>
        <w:rPr>
          <w:rFonts w:hint="eastAsia" w:ascii="宋体" w:hAnsi="宋体" w:eastAsia="宋体" w:cs="Times New Roman"/>
          <w:b/>
          <w:bCs w:val="0"/>
          <w:color w:val="auto"/>
          <w:sz w:val="24"/>
          <w:highlight w:val="none"/>
        </w:rPr>
        <w:t xml:space="preserve">或</w:t>
      </w:r>
      <w:r>
        <w:rPr>
          <w:rFonts w:hint="eastAsia" w:ascii="宋体" w:hAnsi="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的本项目开标时间前6个月内</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不含开标当月）</w:t>
      </w:r>
      <w:r>
        <w:rPr>
          <w:rFonts w:hint="eastAsia" w:ascii="宋体" w:hAnsi="宋体" w:eastAsia="宋体" w:cs="Times New Roman"/>
          <w:bCs/>
          <w:color w:val="auto"/>
          <w:sz w:val="24"/>
          <w:highlight w:val="none"/>
        </w:rPr>
        <w:t xml:space="preserve">银行出具的资信证明</w:t>
      </w:r>
      <w:r>
        <w:rPr>
          <w:rFonts w:hint="eastAsia" w:ascii="宋体" w:hAnsi="宋体" w:cs="Times New Roman"/>
          <w:bCs/>
          <w:color w:val="auto"/>
          <w:sz w:val="24"/>
          <w:highlight w:val="none"/>
          <w:lang w:val="en-US" w:eastAsia="zh-CN"/>
        </w:rPr>
        <w:t xml:space="preserve">扫描件</w:t>
      </w:r>
      <w:r>
        <w:rPr>
          <w:rFonts w:hint="eastAsia" w:ascii="宋体" w:hAnsi="宋体" w:eastAsia="宋体" w:cs="Times New Roman"/>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的本项目开标时间前6个月内（不含开标当月）任何1月的依法缴纳税收和社会保障资金的相关材料扫描件；依法免税或不需要缴纳社会保障资金的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应提供相应其依法免税或不需要缴纳社会保障资金的证明文件扫描件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4、具备履行合同所必需的设备和专业技术能力的证明材料提供具备履行合同所必需的设备和专业技术能力的书面声明</w:t>
      </w:r>
      <w:r>
        <w:rPr>
          <w:rFonts w:hint="eastAsia" w:ascii="宋体" w:hAnsi="宋体" w:eastAsia="宋体" w:cs="宋体"/>
          <w:color w:val="auto"/>
          <w:sz w:val="24"/>
          <w:szCs w:val="24"/>
          <w:highlight w:val="none"/>
        </w:rPr>
        <w:t xml:space="preserve">（加盖电子签章，格式见《询价通知书》附件）；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参加政府采购活动前3年内在经营活动中没有重大违法记录的书面声明（加盖电子签章，格式见《询价通知书》附件）；</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本项目的特定资格要求：</w:t>
      </w:r>
      <w:r>
        <w:rPr>
          <w:rFonts w:hint="eastAsia" w:cs="仿宋" w:asciiTheme="minorEastAsia" w:hAnsiTheme="minorEastAsia"/>
          <w:color w:val="auto"/>
          <w:sz w:val="24"/>
          <w:szCs w:val="24"/>
          <w:highlight w:val="none"/>
          <w:lang w:val="en-US" w:eastAsia="zh-CN"/>
        </w:rPr>
        <w:t xml:space="preserve">投标人为生产厂家的应提供所投农药产品的生产许可证、农药登记证、产品企业标准；非生产厂家的投标单位应提供农药经营许可证、所投农药产品的生产许可证、农药登记证、产品企业标准。非生产厂家中标后需提供所中标产品生产企业的授权委托书，以证明其履约能力。</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t xml:space="preserve">7、</w:t>
      </w:r>
      <w:r>
        <w:rPr>
          <w:rFonts w:hint="eastAsia" w:ascii="宋体" w:hAnsi="宋体" w:eastAsia="宋体" w:cs="宋体"/>
          <w:bCs/>
          <w:color w:val="auto"/>
          <w:sz w:val="24"/>
          <w:highlight w:val="none"/>
          <w:lang w:val="en-US" w:eastAsia="zh-CN" w:bidi="ar-SA"/>
        </w:rPr>
        <w:t xml:space="preserve">此项目属于专门面向中小微企业采购的项目，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b/>
          <w:bCs w:val="0"/>
          <w:color w:val="auto"/>
          <w:sz w:val="24"/>
          <w:highlight w:val="none"/>
          <w:lang w:val="en-US" w:eastAsia="zh-CN" w:bidi="ar-SA"/>
        </w:rPr>
        <w:t xml:space="preserve">必须提供，填写完整，加盖电子签章如不填写完整，视为无效</w:t>
      </w:r>
      <w:r>
        <w:rPr>
          <w:rFonts w:hint="eastAsia" w:ascii="宋体" w:hAnsi="宋体" w:eastAsia="宋体" w:cs="宋体"/>
          <w:bCs/>
          <w:color w:val="auto"/>
          <w:sz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注：监狱企业和残疾人福利性单位等同于小微企业。</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供应商为监狱企业的，提供省级以上监狱管理局、戒毒管理局（含新疆生产建设兵团）出具的属于监狱企业的证明文件原件的扫描件。</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具体以《财政部 司法部关于政府采购支持监狱企业发展有关问题的通知》（财库〔2014〕68号）的规定为准。</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供应商为享受政府采购支持政策的残疾人福利性单位的，提供《残疾人福利性单</w:t>
      </w:r>
      <w:r>
        <w:rPr>
          <w:rFonts w:hint="eastAsia" w:ascii="宋体" w:hAnsi="宋体" w:eastAsia="宋体" w:cs="宋体"/>
          <w:b w:val="0"/>
          <w:bCs/>
          <w:color w:val="auto"/>
          <w:sz w:val="24"/>
          <w:highlight w:val="none"/>
          <w:lang w:val="en-US" w:eastAsia="zh-CN" w:bidi="ar-SA"/>
        </w:rPr>
        <w:t xml:space="preserve">位声明函》（加盖电子签章，格式见《</w:t>
      </w:r>
      <w:r>
        <w:rPr>
          <w:rFonts w:hint="eastAsia" w:ascii="宋体" w:hAnsi="宋体" w:eastAsia="宋体" w:cs="宋体"/>
          <w:b w:val="0"/>
          <w:bCs/>
          <w:color w:val="auto"/>
          <w:sz w:val="24"/>
          <w:szCs w:val="24"/>
          <w:highlight w:val="none"/>
        </w:rPr>
        <w:t xml:space="preserve">询价通知书</w:t>
      </w:r>
      <w:r>
        <w:rPr>
          <w:rFonts w:hint="eastAsia" w:ascii="宋体" w:hAnsi="宋体" w:eastAsia="宋体" w:cs="宋体"/>
          <w:b w:val="0"/>
          <w:bCs/>
          <w:color w:val="auto"/>
          <w:sz w:val="24"/>
          <w:highlight w:val="none"/>
          <w:lang w:val="en-US" w:eastAsia="zh-CN" w:bidi="ar-SA"/>
        </w:rPr>
        <w:t xml:space="preserve">》附件）。</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享受政府采购支持政策的残疾人福利性单位应当同时满足以下条件：</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①安置的残疾人占本单位在职职工人数的比例不低于25%（含25%），并且安置的残疾人人数不少于10人（含10人）；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②依法与安置的每位残疾人签订了一年以上（含一年）的劳动合同或服务协议；</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具体以《三部门联合发布关于促进残疾人就业政府采购政策的通知》（财库〔2017〕141号）规定为准。</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bCs/>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《询价报价表》（加盖电子签章，格式见《询价通知书》附件）。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《分项价格表》（加盖电子签章，格式见《询价通知书》附件）。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《承诺书》（加盖电子签章，格式见《询价通知书》附件）。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highlight w:val="none"/>
          <w:lang w:val="en-US" w:eastAsia="zh-CN"/>
        </w:rPr>
        <w:t xml:space="preserve">授权委托书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highlight w:val="none"/>
        </w:rPr>
        <w:t xml:space="preserve">（提供原件的扫描件（含授权委托书中受托人身份证原件的扫描件），格式见《询价通知书》附件）。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rPr>
        <w:t xml:space="preserve">》（加盖电子签章，格式见《询价通知书》附件）。</w:t>
      </w:r>
      <w:r/>
    </w:p>
    <w:p>
      <w:pPr>
        <w:jc w:val="both"/>
        <w:keepLines w:val="0"/>
        <w:keepNext w:val="0"/>
        <w:pageBreakBefore w:val="0"/>
        <w:spacing w:before="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询价通知书中要求的相关内容及供应商认为其他需要提供的和本次询价活动有关的资料说明（如有）。</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）价格折扣文件格式：无。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第四章 询价相关说明</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、询价相关说明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(一)询价要求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参与询价的供应商需按本询价通知书要求的截止时间、方式（地点）提交响应文件。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在到达响应文件开启时间后，供应商使用谷歌浏览器登录“苏采云”系统，进入系统“开标大厅”，参加线上询价活动。在解密时间内，使用CA数字证书解密响应文件。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“苏采云”系统生成开标记录并向社会公众公布后5分钟内，供应商通过“苏采云”系统（使用“CA数字证书”）确认开标过程。在以上时间内供应商没有确认的，视同该供应商认可开标结果。</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评审中需要供应商对响应文件澄清或者说明的，应当通过“苏采云”系统交换数据电文。</w:t>
      </w:r>
      <w:r>
        <w:rPr>
          <w:rFonts w:hint="eastAsia" w:ascii="宋体" w:hAnsi="宋体" w:eastAsia="宋体" w:cs="宋体"/>
          <w:b/>
          <w:bCs/>
          <w:color w:val="auto"/>
          <w:sz w:val="24"/>
          <w:szCs w:val="24"/>
          <w:highlight w:val="none"/>
        </w:rPr>
        <w:t xml:space="preserve">在评审期间，请供应商保持在线</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特别说明：“苏采云”系统通过“江苏省政府采购一体化不见面开标大厅</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特别说明：“苏采云”系统通过“江苏省政府采购一体化不见面开标大厅</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参与询价的供应商如未按上述询价要求执行，造成询价小组无法与其进行线上询价活动的，视同供应商放弃询价的权利，退出询价采购活动。</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（二）采购程序</w:t>
      </w:r>
      <w:r/>
    </w:p>
    <w:p>
      <w:pPr>
        <w:ind w:right="29"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询价小组由采购人的代表和有关专家共三人以上的单数组成。 </w:t>
      </w:r>
      <w:r/>
    </w:p>
    <w:p>
      <w:pPr>
        <w:ind w:right="29"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参加询价采购活动的供应商，应当按照询价通知书的规定一次报出不得更改的价格。</w:t>
      </w:r>
      <w:r/>
    </w:p>
    <w:p>
      <w:pPr>
        <w:ind w:right="25"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询价小组应当从质量和服务均能满足采购文件实质性响应要求的供应商中，按照报价由低到高的顺序提出3名以上成交候选人，并编写评审报告。 </w:t>
      </w:r>
      <w:r>
        <w:rPr>
          <w:rFonts w:hint="eastAsia" w:ascii="宋体" w:hAnsi="宋体" w:cs="宋体"/>
          <w:color w:val="auto"/>
          <w:sz w:val="24"/>
          <w:szCs w:val="24"/>
          <w:highlight w:val="none"/>
          <w:lang w:val="en-US" w:eastAsia="zh-CN"/>
        </w:rPr>
        <w:t xml:space="preserve"> </w:t>
      </w:r>
      <w:r/>
    </w:p>
    <w:p>
      <w:pPr>
        <w:ind w:right="29"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确定成交供应商。采购人从评审报告提出的成交候选人中，根据质量和服务均能满足采购文件实质性响应要求且报价最低的原则确定成交供应商。</w:t>
      </w:r>
      <w:r/>
    </w:p>
    <w:p>
      <w:pPr>
        <w:ind w:right="29"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成交结果</w:t>
      </w:r>
      <w:r>
        <w:rPr>
          <w:rFonts w:hint="eastAsia" w:ascii="宋体" w:hAnsi="宋体" w:cs="宋体"/>
          <w:b w:val="0"/>
          <w:bCs w:val="0"/>
          <w:color w:val="auto"/>
          <w:sz w:val="24"/>
          <w:szCs w:val="24"/>
          <w:highlight w:val="none"/>
          <w:lang w:val="en-US" w:eastAsia="zh-CN"/>
        </w:rPr>
        <w:t xml:space="preserve">公告</w:t>
      </w:r>
      <w:r>
        <w:rPr>
          <w:rFonts w:hint="eastAsia" w:ascii="宋体" w:hAnsi="宋体" w:eastAsia="宋体" w:cs="宋体"/>
          <w:b w:val="0"/>
          <w:bCs w:val="0"/>
          <w:color w:val="auto"/>
          <w:sz w:val="24"/>
          <w:szCs w:val="24"/>
          <w:highlight w:val="none"/>
        </w:rPr>
        <w:t xml:space="preserve">在</w:t>
      </w:r>
      <w:r>
        <w:rPr>
          <w:rFonts w:hint="eastAsia" w:ascii="宋体" w:hAnsi="宋体" w:eastAsia="宋体" w:cs="宋体"/>
          <w:b w:val="0"/>
          <w:bCs w:val="0"/>
          <w:color w:val="auto"/>
          <w:sz w:val="24"/>
          <w:szCs w:val="24"/>
          <w:highlight w:val="none"/>
          <w:lang w:val="en-US" w:eastAsia="zh-CN"/>
        </w:rPr>
        <w:t xml:space="preserve">徐州市政府采购网</w:t>
      </w:r>
      <w:r>
        <w:rPr>
          <w:rFonts w:hint="eastAsia" w:ascii="宋体" w:hAnsi="宋体" w:eastAsia="宋体" w:cs="宋体"/>
          <w:b w:val="0"/>
          <w:bCs w:val="0"/>
          <w:color w:val="auto"/>
          <w:sz w:val="24"/>
          <w:szCs w:val="24"/>
          <w:highlight w:val="none"/>
        </w:rPr>
        <w:t xml:space="preserve">上</w:t>
      </w:r>
      <w:r>
        <w:rPr>
          <w:rFonts w:hint="eastAsia" w:ascii="宋体" w:hAnsi="宋体" w:eastAsia="宋体" w:cs="宋体"/>
          <w:b w:val="0"/>
          <w:bCs w:val="0"/>
          <w:color w:val="auto"/>
          <w:sz w:val="24"/>
          <w:szCs w:val="24"/>
          <w:highlight w:val="none"/>
          <w:lang w:eastAsia="zh-CN"/>
        </w:rPr>
        <w:t xml:space="preserve">发布</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相关内容和要求见：《中华人民共和国政府采购法》、《中华人民共和国政府采购法实施条例》及《政府采购非招标采购方式管理办法》。</w:t>
      </w:r>
      <w:r/>
    </w:p>
    <w:p>
      <w:pPr>
        <w:ind w:right="29"/>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（三）评定成交的标准</w:t>
      </w:r>
      <w:r/>
    </w:p>
    <w:p>
      <w:pPr>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采购人从评审报告提出的成交候选人中，根据质量和服务均能满足采购文件实质性响应要求且报价（单价）最低</w:t>
      </w:r>
      <w:r>
        <w:rPr>
          <w:rFonts w:hint="eastAsia" w:ascii="宋体" w:hAnsi="宋体" w:cs="宋体"/>
          <w:b/>
          <w:bCs/>
          <w:color w:val="auto"/>
          <w:sz w:val="24"/>
          <w:szCs w:val="24"/>
          <w:highlight w:val="none"/>
          <w:lang w:val="en-US" w:eastAsia="zh-CN"/>
        </w:rPr>
        <w:t xml:space="preserve">（单项</w:t>
      </w:r>
      <w:r>
        <w:rPr>
          <w:rFonts w:hint="eastAsia" w:ascii="宋体" w:hAnsi="宋体" w:eastAsia="宋体" w:cs="宋体"/>
          <w:b/>
          <w:bCs/>
          <w:color w:val="auto"/>
          <w:sz w:val="24"/>
          <w:szCs w:val="24"/>
          <w:highlight w:val="none"/>
          <w:lang w:val="en-US" w:eastAsia="zh-CN"/>
        </w:rPr>
        <w:t xml:space="preserve">总价不变</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所报产品的总数量最多的原则确定成交供应商。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报价（单价）相同的，确定成交供应商方式：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1.确定人：采购人。</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2.确定成交供应商方式：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按照以下顺序确定：</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)都符合第(1)种情况的，响应文件中提供所报产品的节能产品认证证书电子扫描件和所报产品的环境标志产品认证证书电子扫描件的，被确定为成交供应商。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)都符合第(2)种情况的，响应文件中提供所报产品的节能产品认证证书电子扫描件和所报产品的环境标志产品认证证书电子扫描件份数最多的，被确定为成交供应商。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)第(3)种情况无法确定的，由采购人确定。</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说明：所报产品的环境标志产品认证证书、所报产品的节能产品认证证书要求：见《询价通知书》中“响应文件编制要求”。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成交结果在徐州市政府采购网上公布。</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查询及使用供应商信用记录：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由采购人查询信用信息。</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查询渠道包括：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“信用中国”网（www.creditchina.gov.cn）；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中国政府采购网（www.ccgp.gov.cn）；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“信用江苏”网（http://credit.jiangsu.gov.cn/）；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“信用中国(江苏徐州)”网（http://www.xuzhoucredit.gov.cn）；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截止时点（查询环节）：</w:t>
      </w:r>
      <w:r>
        <w:rPr>
          <w:rFonts w:hint="eastAsia" w:ascii="宋体" w:hAnsi="宋体" w:cs="宋体"/>
          <w:color w:val="auto"/>
          <w:sz w:val="24"/>
          <w:szCs w:val="24"/>
          <w:highlight w:val="none"/>
          <w:lang w:val="en-US" w:eastAsia="zh-CN"/>
        </w:rPr>
        <w:t xml:space="preserve">递交响应文件截止时间后</w:t>
      </w:r>
      <w:r>
        <w:rPr>
          <w:rFonts w:hint="eastAsia" w:ascii="宋体" w:hAnsi="宋体" w:eastAsia="宋体" w:cs="宋体"/>
          <w:color w:val="auto"/>
          <w:sz w:val="24"/>
          <w:szCs w:val="24"/>
          <w:highlight w:val="none"/>
        </w:rPr>
        <w:t xml:space="preserve">资格审查结束前。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信用信息的使用规则：</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十五、</w:t>
      </w:r>
      <w:r>
        <w:rPr>
          <w:rFonts w:hint="eastAsia" w:ascii="宋体" w:hAnsi="宋体" w:eastAsia="宋体" w:cs="宋体"/>
          <w:color w:val="auto"/>
          <w:sz w:val="24"/>
          <w:szCs w:val="24"/>
          <w:highlight w:val="none"/>
        </w:rPr>
        <w:t xml:space="preserve">采购人有权对供应商的响应文件的真实性进行核实，如供应商不能在采购人规定的时间内向采购人提供有效的证明，将被采购人</w:t>
      </w:r>
      <w:r>
        <w:rPr>
          <w:rFonts w:hint="eastAsia" w:ascii="宋体" w:hAnsi="宋体" w:cs="宋体"/>
          <w:color w:val="auto"/>
          <w:sz w:val="24"/>
          <w:szCs w:val="24"/>
          <w:highlight w:val="none"/>
          <w:lang w:val="en-US" w:eastAsia="zh-CN"/>
        </w:rPr>
        <w:t xml:space="preserve">视为放弃本项目中标（成交）资格</w:t>
      </w:r>
      <w:r>
        <w:rPr>
          <w:rFonts w:hint="eastAsia" w:ascii="宋体" w:hAnsi="宋体" w:eastAsia="宋体" w:cs="宋体"/>
          <w:color w:val="auto"/>
          <w:sz w:val="24"/>
          <w:szCs w:val="24"/>
          <w:highlight w:val="none"/>
        </w:rPr>
        <w:t xml:space="preserve">。</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第五章  合同签订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w:t>
      </w:r>
      <w:r>
        <w:rPr>
          <w:rFonts w:hint="eastAsia" w:ascii="宋体" w:hAnsi="宋体" w:eastAsia="宋体" w:cs="宋体"/>
          <w:color w:val="auto"/>
          <w:sz w:val="24"/>
          <w:szCs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特别说明：</w:t>
      </w:r>
      <w:r>
        <w:rPr>
          <w:rFonts w:hint="eastAsia" w:ascii="宋体" w:hAnsi="宋体" w:eastAsia="宋体" w:cs="宋体"/>
          <w:color w:val="auto"/>
          <w:sz w:val="24"/>
          <w:szCs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numPr>
          <w:ilvl w:val="0"/>
          <w:numId w:val="2"/>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p>
    <w:p>
      <w:pPr>
        <w:ind w:left="0"/>
        <w:jc w:val="center"/>
        <w:keepLines w:val="0"/>
        <w:keepNext w:val="0"/>
        <w:pageBreakBefore w:val="0"/>
        <w:spacing w:before="73" w:after="73"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第六章 </w:t>
      </w:r>
      <w:r>
        <w:rPr>
          <w:rFonts w:hint="eastAsia" w:ascii="宋体" w:hAnsi="宋体" w:eastAsia="宋体" w:cs="宋体"/>
          <w:b/>
          <w:bCs/>
          <w:color w:val="auto"/>
          <w:sz w:val="24"/>
          <w:szCs w:val="24"/>
          <w:highlight w:val="none"/>
          <w:lang w:eastAsia="zh-CN"/>
        </w:rPr>
        <w:t xml:space="preserve">询价通知书</w:t>
      </w:r>
      <w:r>
        <w:rPr>
          <w:rFonts w:hint="eastAsia" w:ascii="宋体" w:hAnsi="宋体" w:eastAsia="宋体" w:cs="宋体"/>
          <w:b/>
          <w:bCs/>
          <w:color w:val="auto"/>
          <w:sz w:val="24"/>
          <w:szCs w:val="24"/>
          <w:highlight w:val="none"/>
        </w:rPr>
        <w:t xml:space="preserve">的澄清或者修改</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十八、《询价通知书》的澄清或者修改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第七章 询问和质疑</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十九、询问和质疑</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张爽</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0516-83200699</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徐州市绿地商务城蓝海D座516室</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第八章 其他</w:t>
      </w:r>
      <w:r/>
    </w:p>
    <w:p>
      <w:pPr>
        <w:pStyle w:val="971"/>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rPr>
        <w:t xml:space="preserve">二十、</w:t>
      </w:r>
      <w:r>
        <w:rPr>
          <w:rFonts w:hint="eastAsia" w:ascii="宋体" w:hAnsi="宋体" w:eastAsia="宋体" w:cs="宋体"/>
          <w:b/>
          <w:bCs/>
          <w:color w:val="auto"/>
          <w:sz w:val="24"/>
          <w:szCs w:val="24"/>
          <w:highlight w:val="none"/>
          <w:lang w:val="zh-CN" w:eastAsia="zh-CN"/>
        </w:rPr>
        <w:t xml:space="preserve">本项目代理服务费由成交供应商在领取成交通知书前向采购代理机构交纳。</w:t>
      </w:r>
      <w:r/>
    </w:p>
    <w:p>
      <w:pPr>
        <w:pStyle w:val="97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二十一、特别说明：</w:t>
      </w:r>
      <w:r/>
    </w:p>
    <w:p>
      <w:pPr>
        <w:pStyle w:val="97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供应商应在响应文件递交截止时间之前上传电子响应文件和有下列情形之一的，供应商其响应文件按无效响应文件处理：</w:t>
      </w:r>
      <w:r/>
    </w:p>
    <w:p>
      <w:pPr>
        <w:pStyle w:val="97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（1）电子响应文件未按规定期限上传的；</w:t>
      </w:r>
      <w:r/>
    </w:p>
    <w:p>
      <w:pPr>
        <w:pStyle w:val="97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（2）电子响应文件未按询价通知书要求签章的；</w:t>
      </w:r>
      <w:r/>
    </w:p>
    <w:p>
      <w:pPr>
        <w:pStyle w:val="97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（3）响应文件未按询价通知书规定的内容和要求填写的；</w:t>
      </w:r>
      <w:r/>
    </w:p>
    <w:p>
      <w:pPr>
        <w:pStyle w:val="97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（4）没有在投标系统指定位置上传对应文件、材料的；均按无效响应文件处理。</w:t>
      </w:r>
      <w:r/>
    </w:p>
    <w:p>
      <w:pPr>
        <w:pStyle w:val="97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凡对本次采购提出询问，请按以下方式联系：</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p>
    <w:p>
      <w:pPr>
        <w:pStyle w:val="971"/>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eastAsia="zh-CN"/>
        </w:rPr>
        <w:t xml:space="preserve">邳州市农业农村局</w:t>
      </w:r>
      <w:r/>
    </w:p>
    <w:p>
      <w:pPr>
        <w:pStyle w:val="971"/>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地址：</w:t>
      </w:r>
      <w:r>
        <w:rPr>
          <w:rFonts w:hint="eastAsia" w:ascii="宋体" w:hAnsi="宋体" w:cs="宋体"/>
          <w:color w:val="auto"/>
          <w:sz w:val="24"/>
          <w:szCs w:val="24"/>
          <w:highlight w:val="none"/>
          <w:lang w:val="zh-CN" w:eastAsia="zh-CN"/>
        </w:rPr>
        <w:t xml:space="preserve">邳州市长江路行政中心4号楼</w:t>
      </w:r>
      <w:r/>
    </w:p>
    <w:p>
      <w:pPr>
        <w:pStyle w:val="971"/>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采购项目联系人：朱科长</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val="en-US" w:eastAsia="zh-CN"/>
        </w:rPr>
        <w:t xml:space="preserve">0516-86222147</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采购代理机构</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eastAsia="zh-CN"/>
        </w:rPr>
        <w:t xml:space="preserve">江苏瑞阳工程咨询有限公司</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地址：徐州市绿地商务城蓝海D座516室</w:t>
      </w:r>
      <w:r/>
    </w:p>
    <w:p>
      <w:pPr>
        <w:pStyle w:val="971"/>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采购项目联系人：</w:t>
      </w:r>
      <w:r>
        <w:rPr>
          <w:rFonts w:hint="eastAsia" w:ascii="宋体" w:hAnsi="宋体" w:cs="宋体"/>
          <w:color w:val="auto"/>
          <w:sz w:val="24"/>
          <w:szCs w:val="24"/>
          <w:highlight w:val="none"/>
          <w:lang w:val="en-US" w:eastAsia="zh-CN"/>
        </w:rPr>
        <w:t xml:space="preserve">张爽、</w:t>
      </w:r>
      <w:r>
        <w:rPr>
          <w:rFonts w:hint="eastAsia" w:ascii="宋体" w:hAnsi="宋体" w:eastAsia="宋体" w:cs="宋体"/>
          <w:color w:val="auto"/>
          <w:sz w:val="24"/>
          <w:highlight w:val="none"/>
          <w:lang w:eastAsia="zh-CN"/>
        </w:rPr>
        <w:t xml:space="preserve">孙玉琦</w:t>
      </w:r>
      <w:r/>
    </w:p>
    <w:p>
      <w:pPr>
        <w:pStyle w:val="97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联系方式：0516-83200699</w:t>
      </w:r>
      <w:r/>
    </w:p>
    <w:p>
      <w:pPr>
        <w:pStyle w:val="971"/>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《分项价格表》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《拟签订的合同文本》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《具备履行合同所必需的设备和专业技术能力的书面声明（附证明材料原件的扫描件）》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《预付款保函支付条款》</w:t>
      </w:r>
      <w:r/>
    </w:p>
    <w:p>
      <w:pPr>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1</w:t>
      </w:r>
      <w:r>
        <w:rPr>
          <w:rFonts w:hint="eastAsia" w:ascii="宋体" w:hAnsi="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项目要求（采购需求）</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一、采购项目</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2025年中央农业防灾减灾和水利救灾资金（防灾减灾第三批）农作物重大病虫害防控项目</w:t>
      </w:r>
      <w:r>
        <w:rPr>
          <w:rFonts w:hint="eastAsia" w:ascii="宋体" w:hAnsi="宋体" w:eastAsia="宋体" w:cs="宋体"/>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2.采购项目预算金额及报价要求：</w:t>
      </w:r>
      <w:r/>
    </w:p>
    <w:p>
      <w:pPr>
        <w:ind w:lef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b w:val="0"/>
          <w:bCs/>
          <w:color w:val="auto"/>
          <w:sz w:val="24"/>
          <w:szCs w:val="24"/>
        </w:rPr>
        <w:t xml:space="preserve">本项目预算总金额</w:t>
      </w:r>
      <w:r>
        <w:rPr>
          <w:rFonts w:hint="eastAsia" w:ascii="宋体" w:hAnsi="宋体" w:eastAsia="宋体" w:cs="宋体"/>
          <w:b w:val="0"/>
          <w:bCs/>
          <w:color w:val="auto"/>
          <w:sz w:val="24"/>
          <w:szCs w:val="24"/>
          <w:lang w:val="en-US" w:eastAsia="zh-CN"/>
        </w:rPr>
        <w:t xml:space="preserve">250</w:t>
      </w:r>
      <w:r>
        <w:rPr>
          <w:rFonts w:hint="eastAsia" w:ascii="宋体" w:hAnsi="宋体" w:eastAsia="宋体" w:cs="宋体"/>
          <w:b w:val="0"/>
          <w:bCs/>
          <w:color w:val="auto"/>
          <w:sz w:val="24"/>
          <w:szCs w:val="24"/>
        </w:rPr>
        <w:t xml:space="preserve">万元人民币，</w:t>
      </w:r>
      <w:r>
        <w:rPr>
          <w:rFonts w:hint="eastAsia" w:ascii="宋体" w:hAnsi="宋体" w:eastAsia="宋体" w:cs="宋体"/>
          <w:b w:val="0"/>
          <w:bCs/>
          <w:color w:val="auto"/>
          <w:sz w:val="24"/>
          <w:szCs w:val="24"/>
          <w:lang w:val="en-US" w:eastAsia="zh-CN"/>
        </w:rPr>
        <w:t xml:space="preserve">预算</w:t>
      </w:r>
      <w:r>
        <w:rPr>
          <w:rFonts w:hint="eastAsia" w:ascii="宋体" w:hAnsi="宋体" w:eastAsia="宋体" w:cs="宋体"/>
          <w:b w:val="0"/>
          <w:bCs/>
          <w:color w:val="auto"/>
          <w:sz w:val="24"/>
          <w:szCs w:val="24"/>
        </w:rPr>
        <w:t xml:space="preserve">包括完成本项目的所有费用，采购人不</w:t>
      </w:r>
      <w:r>
        <w:rPr>
          <w:rFonts w:hint="eastAsia" w:ascii="宋体" w:hAnsi="宋体" w:cs="宋体"/>
          <w:b w:val="0"/>
          <w:bCs/>
          <w:color w:val="auto"/>
          <w:sz w:val="24"/>
          <w:szCs w:val="24"/>
          <w:lang w:val="en-US" w:eastAsia="zh-CN"/>
        </w:rPr>
        <w:t xml:space="preserve">再</w:t>
      </w:r>
      <w:r>
        <w:rPr>
          <w:rFonts w:hint="eastAsia" w:ascii="宋体" w:hAnsi="宋体" w:eastAsia="宋体" w:cs="宋体"/>
          <w:b w:val="0"/>
          <w:bCs/>
          <w:color w:val="auto"/>
          <w:sz w:val="24"/>
          <w:szCs w:val="24"/>
        </w:rPr>
        <w:t xml:space="preserve">另行支付</w:t>
      </w:r>
      <w:r>
        <w:rPr>
          <w:rFonts w:hint="eastAsia" w:ascii="宋体" w:hAnsi="宋体" w:cs="宋体"/>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本项目按照优惠率形式进行报价，报价区间为0-100%（不得为100%），精确到小数点后两位（例：xx.xx%）。如优惠率报价为20%，结算单价为基准单价*（1-20%）。本项目采用固定总价且不设具体数量方式采购，各标的最终成交数量以各标的预算金额/结算单价，取整数至个位。</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、项目内容：</w:t>
      </w:r>
      <w:r/>
    </w:p>
    <w:p>
      <w:pPr>
        <w:ind w:lef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采购清单及技术参数要求：</w:t>
      </w:r>
      <w:r/>
    </w:p>
    <w:tbl>
      <w:tblPr>
        <w:tblStyle w:val="796"/>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4"/>
        <w:gridCol w:w="2760"/>
        <w:gridCol w:w="2120"/>
        <w:gridCol w:w="1387"/>
        <w:gridCol w:w="1773"/>
      </w:tblGrid>
      <w:tr>
        <w:trPr>
          <w:jc w:val="center"/>
          <w:trHeight w:val="737"/>
        </w:trPr>
        <w:tc>
          <w:tcPr>
            <w:tcBorders>
              <w:top w:val="single" w:color="auto" w:sz="4" w:space="0"/>
              <w:left w:val="single" w:color="auto" w:sz="4" w:space="0"/>
              <w:bottom w:val="single" w:color="auto" w:sz="4" w:space="0"/>
              <w:right w:val="single" w:color="auto" w:sz="4" w:space="0"/>
            </w:tcBorders>
            <w:tcW w:w="20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采购项目名称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规格</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金额（万元）</w:t>
            </w:r>
            <w:r/>
          </w:p>
        </w:tc>
      </w:tr>
      <w:tr>
        <w:trPr>
          <w:jc w:val="center"/>
          <w:trHeight w:val="531"/>
        </w:trPr>
        <w:tc>
          <w:tcPr>
            <w:tcBorders>
              <w:left w:val="single" w:color="auto" w:sz="4" w:space="0"/>
              <w:right w:val="single" w:color="auto" w:sz="4" w:space="0"/>
            </w:tcBorders>
            <w:tcW w:w="2094"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2025年中央农业防灾减灾和水利救灾资金（防灾减灾第三批）农作物重大病虫害防控项目</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2%阿维菌素+16%吡蚜酮悬浮剂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20克/袋</w:t>
            </w:r>
            <w:r>
              <w:rPr>
                <w:rFonts w:hint="eastAsia" w:ascii="宋体" w:hAnsi="宋体" w:cs="宋体"/>
                <w:color w:val="auto"/>
                <w:sz w:val="24"/>
                <w:szCs w:val="24"/>
                <w:lang w:val="en-US" w:eastAsia="zh-CN"/>
              </w:rPr>
              <w:t xml:space="preserve">（瓶）</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w:t>
            </w:r>
            <w:r/>
          </w:p>
        </w:tc>
      </w:tr>
      <w:tr>
        <w:trPr>
          <w:jc w:val="center"/>
          <w:trHeight w:val="230"/>
        </w:trPr>
        <w:tc>
          <w:tcPr>
            <w:tcBorders>
              <w:left w:val="single" w:color="auto" w:sz="4" w:space="0"/>
              <w:right w:val="single" w:color="auto" w:sz="4" w:space="0"/>
            </w:tcBorders>
            <w:tcW w:w="2094"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15%多杀·茚虫威悬浮剂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100克/瓶</w:t>
            </w:r>
            <w:r>
              <w:rPr>
                <w:rFonts w:hint="eastAsia" w:ascii="宋体" w:hAnsi="宋体" w:cs="宋体"/>
                <w:color w:val="auto"/>
                <w:sz w:val="24"/>
                <w:szCs w:val="24"/>
                <w:lang w:val="en-US" w:eastAsia="zh-CN"/>
              </w:rPr>
              <w:t xml:space="preserve">（袋）</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53</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w:t>
            </w:r>
            <w:r/>
          </w:p>
        </w:tc>
      </w:tr>
      <w:tr>
        <w:trPr>
          <w:jc w:val="center"/>
          <w:trHeight w:val="230"/>
        </w:trPr>
        <w:tc>
          <w:tcPr>
            <w:tcBorders>
              <w:left w:val="single" w:color="auto" w:sz="4" w:space="0"/>
              <w:right w:val="single" w:color="auto" w:sz="4" w:space="0"/>
            </w:tcBorders>
            <w:tcW w:w="2094"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20%噻呋·已唑醇悬浮剂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1000克/瓶</w:t>
            </w:r>
            <w:r>
              <w:rPr>
                <w:rFonts w:hint="eastAsia" w:ascii="宋体" w:hAnsi="宋体" w:cs="宋体"/>
                <w:color w:val="auto"/>
                <w:sz w:val="24"/>
                <w:szCs w:val="24"/>
                <w:lang w:val="en-US" w:eastAsia="zh-CN"/>
              </w:rPr>
              <w:t xml:space="preserve">（袋）</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115.5</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w:t>
            </w:r>
            <w:r/>
          </w:p>
        </w:tc>
      </w:tr>
      <w:tr>
        <w:trPr>
          <w:jc w:val="center"/>
          <w:trHeight w:val="230"/>
        </w:trPr>
        <w:tc>
          <w:tcPr>
            <w:tcBorders>
              <w:left w:val="single" w:color="auto" w:sz="4" w:space="0"/>
              <w:right w:val="single" w:color="auto" w:sz="4" w:space="0"/>
            </w:tcBorders>
            <w:tcW w:w="2094"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12.5%氯虫多杀悬浮剂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150克/瓶</w:t>
            </w:r>
            <w:r>
              <w:rPr>
                <w:rFonts w:hint="eastAsia" w:ascii="宋体" w:hAnsi="宋体" w:cs="宋体"/>
                <w:color w:val="auto"/>
                <w:sz w:val="24"/>
                <w:szCs w:val="24"/>
                <w:lang w:val="en-US" w:eastAsia="zh-CN"/>
              </w:rPr>
              <w:t xml:space="preserve">（袋）</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57.5</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40</w:t>
            </w:r>
            <w:r/>
          </w:p>
        </w:tc>
      </w:tr>
      <w:tr>
        <w:trPr>
          <w:jc w:val="center"/>
          <w:trHeight w:val="230"/>
        </w:trPr>
        <w:tc>
          <w:tcPr>
            <w:tcBorders>
              <w:left w:val="single" w:color="auto" w:sz="4" w:space="0"/>
              <w:right w:val="single" w:color="auto" w:sz="4" w:space="0"/>
            </w:tcBorders>
            <w:tcW w:w="2094"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18.7%丙环·嘧菌酯悬乳剂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1000克/瓶</w:t>
            </w:r>
            <w:r>
              <w:rPr>
                <w:rFonts w:hint="eastAsia" w:ascii="宋体" w:hAnsi="宋体" w:cs="宋体"/>
                <w:color w:val="auto"/>
                <w:sz w:val="24"/>
                <w:szCs w:val="24"/>
                <w:lang w:val="en-US" w:eastAsia="zh-CN"/>
              </w:rPr>
              <w:t xml:space="preserve">（袋）</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125</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40</w:t>
            </w:r>
            <w:r/>
          </w:p>
        </w:tc>
      </w:tr>
      <w:tr>
        <w:trPr>
          <w:jc w:val="center"/>
          <w:trHeight w:val="230"/>
        </w:trPr>
        <w:tc>
          <w:tcPr>
            <w:tcBorders>
              <w:left w:val="single" w:color="auto" w:sz="4" w:space="0"/>
              <w:right w:val="single" w:color="auto" w:sz="4" w:space="0"/>
            </w:tcBorders>
            <w:tcW w:w="2094"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9.6%甲维·氯虫苯水分散粒剂</w:t>
            </w:r>
            <w:r/>
          </w:p>
        </w:tc>
        <w:tc>
          <w:tcPr>
            <w:tcBorders>
              <w:left w:val="single" w:color="auto" w:sz="4" w:space="0"/>
              <w:right w:val="single" w:color="auto" w:sz="4" w:space="0"/>
            </w:tcBorders>
            <w:tcW w:w="21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200克/瓶</w:t>
            </w:r>
            <w:r>
              <w:rPr>
                <w:rFonts w:hint="eastAsia" w:ascii="宋体" w:hAnsi="宋体" w:cs="宋体"/>
                <w:color w:val="auto"/>
                <w:sz w:val="24"/>
                <w:szCs w:val="24"/>
                <w:lang w:val="en-US" w:eastAsia="zh-CN"/>
              </w:rPr>
              <w:t xml:space="preserve">（袋）</w:t>
            </w:r>
            <w:r/>
          </w:p>
        </w:tc>
        <w:tc>
          <w:tcPr>
            <w:tcBorders>
              <w:left w:val="single" w:color="auto" w:sz="4" w:space="0"/>
              <w:right w:val="single" w:color="auto" w:sz="4" w:space="0"/>
            </w:tcBorders>
            <w:tcW w:w="13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25</w:t>
            </w:r>
            <w:r/>
          </w:p>
        </w:tc>
        <w:tc>
          <w:tcPr>
            <w:tcBorders>
              <w:left w:val="single" w:color="auto" w:sz="4" w:space="0"/>
              <w:right w:val="single" w:color="auto" w:sz="4" w:space="0"/>
            </w:tcBorders>
            <w:tcW w:w="17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80</w:t>
            </w:r>
            <w:r/>
          </w:p>
        </w:tc>
      </w:tr>
    </w:tbl>
    <w:p>
      <w:pPr>
        <w:ind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bidi="ar"/>
        </w:rPr>
      </w:pPr>
      <w:r>
        <w:rPr>
          <w:rFonts w:hint="eastAsia" w:ascii="宋体" w:hAnsi="宋体" w:eastAsia="宋体" w:cs="宋体"/>
          <w:b/>
          <w:bCs/>
          <w:color w:val="auto"/>
          <w:sz w:val="24"/>
          <w:szCs w:val="24"/>
          <w:highlight w:val="none"/>
          <w:u w:val="none"/>
          <w:lang w:val="en-US" w:eastAsia="zh-CN" w:bidi="ar"/>
        </w:rPr>
        <w:t xml:space="preserve">注：该技术要求为本项目实质性技术要求, 不接受负偏离。</w:t>
      </w:r>
      <w:r/>
    </w:p>
    <w:p>
      <w:pPr>
        <w:pStyle w:val="1000"/>
        <w:numPr>
          <w:ilvl w:val="0"/>
          <w:numId w:val="0"/>
        </w:num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本次采购不设具体数量，最终成交数量以不超过各项预算单价的最大整数计算</w:t>
      </w:r>
      <w:r>
        <w:rPr>
          <w:rFonts w:hint="eastAsia" w:ascii="宋体" w:hAnsi="宋体" w:cs="宋体"/>
          <w:b/>
          <w:bCs/>
          <w:color w:val="auto"/>
          <w:sz w:val="24"/>
          <w:szCs w:val="24"/>
          <w:highlight w:val="none"/>
          <w:lang w:val="en-US" w:eastAsia="zh-CN" w:bidi="ar-SA"/>
        </w:rPr>
        <w:t xml:space="preserve">。</w:t>
      </w:r>
      <w:r/>
    </w:p>
    <w:p>
      <w:pPr>
        <w:numPr>
          <w:ilvl w:val="0"/>
          <w:numId w:val="0"/>
        </w:numPr>
        <w:ind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rPr>
        <w:t xml:space="preserve">产品及质量要求</w:t>
      </w:r>
      <w:r/>
    </w:p>
    <w:p>
      <w:pPr>
        <w:numPr>
          <w:ilvl w:val="0"/>
          <w:numId w:val="0"/>
        </w:numPr>
        <w:ind w:right="0" w:firstLine="480"/>
        <w:jc w:val="both"/>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bidi="ar-SA"/>
        </w:rPr>
        <w:t xml:space="preserve">供应商所投产品的技术规格应符合农药行业标准的质量要求。</w:t>
      </w:r>
      <w:r/>
    </w:p>
    <w:p>
      <w:pPr>
        <w:numPr>
          <w:ilvl w:val="0"/>
          <w:numId w:val="0"/>
        </w:numPr>
        <w:ind w:right="0" w:firstLine="480"/>
        <w:jc w:val="both"/>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四、项目实施要求</w:t>
      </w:r>
      <w:r/>
    </w:p>
    <w:p>
      <w:pPr>
        <w:pStyle w:val="975"/>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1、交付期限：成交供应商须在合同签订后接到采购人供货通知，30日内成交供应商将采购的货物送到指定地点。  </w:t>
      </w:r>
      <w:r/>
    </w:p>
    <w:p>
      <w:pPr>
        <w:pStyle w:val="975"/>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pStyle w:val="975"/>
        <w:ind w:left="0" w:right="0" w:firstLine="480"/>
        <w:keepLines w:val="0"/>
        <w:keepNext w:val="0"/>
        <w:pageBreakBefore w:val="0"/>
        <w:spacing w:after="0" w:line="360" w:lineRule="auto"/>
        <w:rPr>
          <w:rFonts w:hint="eastAsia" w:ascii="宋体" w:hAnsi="宋体" w:eastAsia="宋体" w:cs="宋体"/>
          <w:bCs/>
          <w:color w:val="auto"/>
          <w:highlight w:val="none"/>
        </w:rPr>
      </w:pPr>
      <w:r>
        <w:rPr>
          <w:rFonts w:hint="eastAsia" w:ascii="宋体" w:hAnsi="宋体" w:eastAsia="宋体" w:cs="宋体"/>
          <w:b w:val="0"/>
          <w:bCs/>
          <w:color w:val="auto"/>
          <w:sz w:val="24"/>
          <w:szCs w:val="24"/>
          <w:highlight w:val="none"/>
          <w:lang w:val="en-US" w:eastAsia="zh-CN"/>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ind w:right="0" w:firstLine="482"/>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ind w:right="0" w:firstLine="480"/>
        <w:jc w:val="center"/>
        <w:keepLines w:val="0"/>
        <w:keepNext w:val="0"/>
        <w:pageBreakBefore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承诺书</w:t>
      </w:r>
      <w:r/>
    </w:p>
    <w:p>
      <w:pPr>
        <w:keepLines w:val="0"/>
        <w:keepNext w:val="0"/>
        <w:pageBreakBefore w:val="0"/>
        <w:spacing w:line="30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cs="宋体"/>
          <w:b/>
          <w:bCs/>
          <w:color w:val="auto"/>
          <w:sz w:val="24"/>
          <w:szCs w:val="24"/>
          <w:highlight w:val="none"/>
          <w:u w:val="single"/>
          <w:lang w:val="en-US" w:eastAsia="zh-CN"/>
        </w:rPr>
        <w:t xml:space="preserve"> 邳州市农业农村局/</w:t>
      </w:r>
      <w:r>
        <w:rPr>
          <w:rFonts w:hint="eastAsia" w:ascii="宋体" w:hAnsi="宋体" w:cs="宋体"/>
          <w:b/>
          <w:bCs/>
          <w:color w:val="auto"/>
          <w:sz w:val="24"/>
          <w:szCs w:val="24"/>
          <w:highlight w:val="none"/>
          <w:u w:val="single"/>
          <w:lang w:eastAsia="zh-CN"/>
        </w:rPr>
        <w:t xml:space="preserve">江苏瑞阳工程咨询有限公司</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根据贵方《询价通知书》（项目编号：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5"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6"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7"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一、按《询价通知书》规定提供交付的货物的唯一报价见《询价报价表》。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五、本报价有效期30个工作日。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有权将我单位本项目响应文件中的《询价报价表》和《分项价格表》予以公示，公示的方式由</w:t>
      </w:r>
      <w:r>
        <w:rPr>
          <w:rFonts w:hint="eastAsia" w:ascii="宋体" w:hAnsi="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确定。如我单位被确定为成交供应商，</w:t>
      </w:r>
      <w:r>
        <w:rPr>
          <w:rFonts w:hint="eastAsia" w:ascii="宋体" w:hAnsi="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71"/>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江苏瑞阳工程咨询有限公司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975"/>
        <w:ind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供应商（盖电子签章）：</w:t>
      </w:r>
      <w:r/>
    </w:p>
    <w:p>
      <w:pPr>
        <w:pStyle w:val="975"/>
        <w:ind w:right="1663"/>
        <w:jc w:val="both"/>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975"/>
        <w:ind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 期：    </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numPr>
          <w:ilvl w:val="0"/>
          <w:numId w:val="0"/>
        </w:num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询价报价表</w:t>
      </w:r>
      <w:r/>
    </w:p>
    <w:p>
      <w:pPr>
        <w:numPr>
          <w:ilvl w:val="0"/>
          <w:numId w:val="0"/>
        </w:numPr>
        <w:jc w:val="both"/>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JSZC-320382-JSRY-X2025-0026</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2025年中央农业防灾减灾和水利救灾资金（防灾减灾第三批）农作物重大病虫害防控项目</w:t>
      </w:r>
      <w:r>
        <w:rPr>
          <w:rFonts w:hint="eastAsia" w:ascii="宋体" w:hAnsi="宋体" w:eastAsia="宋体" w:cs="宋体"/>
          <w:color w:val="auto"/>
          <w:sz w:val="24"/>
          <w:szCs w:val="24"/>
          <w:highlight w:val="none"/>
        </w:rPr>
        <w:t xml:space="preserve">             </w:t>
      </w:r>
      <w:r/>
    </w:p>
    <w:p>
      <w:pPr>
        <w:pStyle w:val="99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报价形式：优惠率（百分比）</w:t>
      </w:r>
      <w:r/>
    </w:p>
    <w:tbl>
      <w:tblPr>
        <w:tblStyle w:val="796"/>
        <w:tblW w:w="90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0"/>
        <w:gridCol w:w="2852"/>
        <w:gridCol w:w="2463"/>
        <w:gridCol w:w="1374"/>
      </w:tblGrid>
      <w:tr>
        <w:trPr>
          <w:cantSplit/>
          <w:jc w:val="center"/>
          <w:trHeight w:val="826"/>
        </w:trPr>
        <w:tc>
          <w:tcPr>
            <w:tcBorders>
              <w:top w:val="single" w:color="000000" w:sz="6" w:space="0"/>
              <w:left w:val="single" w:color="000000" w:sz="6" w:space="0"/>
              <w:bottom w:val="single" w:color="000000" w:sz="2" w:space="0"/>
              <w:right w:val="single" w:color="000000" w:sz="2" w:space="0"/>
            </w:tcBorders>
            <w:tcW w:w="2402"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855"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2465"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优惠率（小写）</w:t>
            </w:r>
            <w:r/>
          </w:p>
        </w:tc>
        <w:tc>
          <w:tcPr>
            <w:tcBorders>
              <w:top w:val="single" w:color="000000" w:sz="6" w:space="0"/>
              <w:left w:val="single" w:color="000000" w:sz="2" w:space="0"/>
              <w:bottom w:val="single" w:color="000000" w:sz="2" w:space="0"/>
              <w:right w:val="single" w:color="000000" w:sz="6" w:space="0"/>
            </w:tcBorders>
            <w:tcW w:w="1375"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1884"/>
        </w:trPr>
        <w:tc>
          <w:tcPr>
            <w:tcBorders>
              <w:top w:val="single" w:color="000000" w:sz="2" w:space="0"/>
              <w:left w:val="single" w:color="000000" w:sz="6" w:space="0"/>
              <w:bottom w:val="single" w:color="000000" w:sz="2" w:space="0"/>
              <w:right w:val="single" w:color="000000" w:sz="2" w:space="0"/>
            </w:tcBorders>
            <w:tcW w:w="2402" w:type="dxa"/>
            <w:vAlign w:val="center"/>
            <w:textDirection w:val="lrTb"/>
            <w:noWrap w:val="false"/>
          </w:tcPr>
          <w:p>
            <w:pPr>
              <w:pStyle w:val="1005"/>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2024年农业防灾减灾和水利救灾资金(防灾减灾第三批)农作物重大病虫害防控项目</w:t>
            </w:r>
            <w:r/>
          </w:p>
        </w:tc>
        <w:tc>
          <w:tcPr>
            <w:tcBorders>
              <w:top w:val="single" w:color="000000" w:sz="2" w:space="0"/>
              <w:left w:val="single" w:color="000000" w:sz="2" w:space="0"/>
              <w:bottom w:val="single" w:color="000000" w:sz="2" w:space="0"/>
              <w:right w:val="single" w:color="000000" w:sz="2" w:space="0"/>
            </w:tcBorders>
            <w:tcW w:w="2855"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详见《询价通知书》附件：1、《项目要求》</w:t>
            </w:r>
            <w:r/>
          </w:p>
        </w:tc>
        <w:tc>
          <w:tcPr>
            <w:tcBorders>
              <w:top w:val="single" w:color="000000" w:sz="2" w:space="0"/>
              <w:left w:val="single" w:color="000000" w:sz="2" w:space="0"/>
              <w:bottom w:val="single" w:color="000000" w:sz="2" w:space="0"/>
              <w:right w:val="single" w:color="000000" w:sz="2" w:space="0"/>
            </w:tcBorders>
            <w:tcW w:w="2465" w:type="dxa"/>
            <w:vAlign w:val="center"/>
            <w:textDirection w:val="lrTb"/>
            <w:noWrap w:val="false"/>
          </w:tcPr>
          <w:p>
            <w:pPr>
              <w:pStyle w:val="1005"/>
              <w:jc w:val="center"/>
              <w:pageBreakBefore w:val="0"/>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2" w:space="0"/>
              <w:left w:val="single" w:color="000000" w:sz="2" w:space="0"/>
              <w:bottom w:val="single" w:color="000000" w:sz="2" w:space="0"/>
              <w:right w:val="single" w:color="000000" w:sz="6" w:space="0"/>
            </w:tcBorders>
            <w:tcW w:w="1375" w:type="dxa"/>
            <w:vAlign w:val="center"/>
            <w:vMerge w:val="restart"/>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1379"/>
        </w:trPr>
        <w:tc>
          <w:tcPr>
            <w:tcBorders>
              <w:top w:val="single" w:color="000000" w:sz="2" w:space="0"/>
              <w:left w:val="single" w:color="000000" w:sz="6" w:space="0"/>
              <w:bottom w:val="single" w:color="000000" w:sz="2" w:space="0"/>
              <w:right w:val="single" w:color="000000" w:sz="2" w:space="0"/>
            </w:tcBorders>
            <w:tcW w:w="2402" w:type="dxa"/>
            <w:vAlign w:val="center"/>
            <w:textDirection w:val="lrTb"/>
            <w:noWrap w:val="false"/>
          </w:tcPr>
          <w:p>
            <w:pPr>
              <w:pStyle w:val="1005"/>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优惠率报价（大写）</w:t>
            </w:r>
            <w:r/>
          </w:p>
        </w:tc>
        <w:tc>
          <w:tcPr>
            <w:gridSpan w:val="2"/>
            <w:tcBorders>
              <w:top w:val="single" w:color="000000" w:sz="2" w:space="0"/>
              <w:left w:val="single" w:color="000000" w:sz="2" w:space="0"/>
              <w:bottom w:val="single" w:color="000000" w:sz="2" w:space="0"/>
              <w:right w:val="single" w:color="000000" w:sz="2" w:space="0"/>
            </w:tcBorders>
            <w:tcW w:w="5320" w:type="dxa"/>
            <w:vAlign w:val="center"/>
            <w:textDirection w:val="lrTb"/>
            <w:noWrap w:val="false"/>
          </w:tcPr>
          <w:p>
            <w:pPr>
              <w:pStyle w:val="1005"/>
              <w:jc w:val="center"/>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6" w:space="0"/>
            </w:tcBorders>
            <w:tcW w:w="1375" w:type="dxa"/>
            <w:vAlign w:val="center"/>
            <w:vMerge w:val="continue"/>
            <w:textDirection w:val="lrTb"/>
            <w:noWrap w:val="false"/>
          </w:tcPr>
          <w:p>
            <w:pPr>
              <w:ind w:left="0" w:right="0"/>
              <w:keepLines w:val="0"/>
              <w:keepNext w:val="0"/>
              <w:pageBreakBefore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r>
    </w:tbl>
    <w:p>
      <w:pPr>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报价包括货物供应、运输、包装、装卸、</w:t>
      </w:r>
      <w:r>
        <w:rPr>
          <w:rFonts w:hint="eastAsia" w:ascii="宋体" w:hAnsi="宋体" w:eastAsia="宋体" w:cs="宋体"/>
          <w:color w:val="auto"/>
          <w:sz w:val="24"/>
          <w:szCs w:val="24"/>
          <w:highlight w:val="none"/>
          <w:lang w:val="en-US" w:eastAsia="zh-CN"/>
        </w:rPr>
        <w:t xml:space="preserve">检验检测、审计、验收</w:t>
      </w:r>
      <w:r>
        <w:rPr>
          <w:rFonts w:hint="eastAsia" w:ascii="宋体" w:hAnsi="宋体" w:eastAsia="宋体" w:cs="宋体"/>
          <w:color w:val="auto"/>
          <w:sz w:val="24"/>
          <w:szCs w:val="24"/>
          <w:highlight w:val="none"/>
        </w:rPr>
        <w:t xml:space="preserve">及应当提供的伴随服务/售后服务等所需的所有费用</w:t>
      </w:r>
      <w:r>
        <w:rPr>
          <w:rFonts w:hint="eastAsia" w:ascii="宋体" w:hAnsi="宋体" w:eastAsia="宋体" w:cs="宋体"/>
          <w:color w:val="auto"/>
          <w:sz w:val="24"/>
          <w:szCs w:val="24"/>
          <w:highlight w:val="none"/>
          <w:lang w:val="en-US" w:eastAsia="zh-CN"/>
        </w:rPr>
        <w:t xml:space="preserve">。采购人不再支付报价以外的任何费用。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2、本报价为最终报价。大小写不一致以大写为准；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按照优惠率进行投标报价，报价区间为0-100%（不得为100%），精确到小数点后两位（例：xx.xx%）。如优惠率报价为20%，结算单价为基准单价*（1-20%）。本项目采用固定总价且不设具体数量采购，各标的最终成交数量以各标的预算金额/结算单价，取整数至个位。</w:t>
      </w:r>
      <w:r/>
    </w:p>
    <w:p>
      <w:pPr>
        <w:ind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供应商（盖电子签章）：</w:t>
      </w:r>
      <w:r/>
    </w:p>
    <w:p>
      <w:pPr>
        <w:ind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注：供应商应将本表填写完整，加盖公章上传至“符合性审查-《询价报价表》”模块中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eastAsia="zh-CN"/>
        </w:rPr>
        <w:t xml:space="preserve">号：</w:t>
      </w:r>
      <w:r>
        <w:rPr>
          <w:rFonts w:hint="eastAsia" w:ascii="宋体" w:hAnsi="宋体" w:cs="宋体"/>
          <w:color w:val="auto"/>
          <w:sz w:val="24"/>
          <w:szCs w:val="24"/>
          <w:highlight w:val="none"/>
          <w:lang w:eastAsia="zh-CN"/>
        </w:rPr>
        <w:t xml:space="preserve">JSZC-320382-JSRY-X2025-0026</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2025年中央农业防灾减灾和水利救灾资金（防灾减灾第三批）农作物重大病虫害防控项目</w:t>
      </w:r>
      <w:r/>
    </w:p>
    <w:p>
      <w:pPr>
        <w:jc w:val="righ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货币单位：人民币元 </w:t>
      </w:r>
      <w:r/>
    </w:p>
    <w:tbl>
      <w:tblPr>
        <w:tblStyle w:val="796"/>
        <w:tblW w:w="9245"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5"/>
        <w:gridCol w:w="1080"/>
        <w:gridCol w:w="1333"/>
        <w:gridCol w:w="1227"/>
        <w:gridCol w:w="2856"/>
        <w:gridCol w:w="1464"/>
      </w:tblGrid>
      <w:tr>
        <w:trPr>
          <w:jc w:val="center"/>
          <w:trHeight w:val="583"/>
        </w:trPr>
        <w:tc>
          <w:tcPr>
            <w:shd w:val="clear" w:color="auto" w:fill="c0c0c0"/>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8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14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优惠率（%）</w:t>
            </w:r>
            <w:r/>
          </w:p>
        </w:tc>
      </w:tr>
      <w:tr>
        <w:trPr>
          <w:jc w:val="center"/>
          <w:trHeight w:val="502"/>
        </w:trPr>
        <w:tc>
          <w:tcPr>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tc>
      </w:tr>
      <w:tr>
        <w:trPr>
          <w:jc w:val="center"/>
          <w:trHeight w:val="449"/>
        </w:trPr>
        <w:tc>
          <w:tcPr>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2"/>
        </w:trPr>
        <w:tc>
          <w:tcPr>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7"/>
        </w:trPr>
        <w:tc>
          <w:tcPr>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9"/>
        </w:trPr>
        <w:tc>
          <w:tcPr>
            <w:tcMar>
              <w:left w:w="15" w:type="dxa"/>
              <w:top w:w="15" w:type="dxa"/>
              <w:right w:w="15" w:type="dxa"/>
              <w:bottom w:w="0" w:type="dxa"/>
            </w:tcMar>
            <w:tcW w:w="12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Mar>
              <w:left w:w="15" w:type="dxa"/>
              <w:top w:w="15" w:type="dxa"/>
              <w:right w:w="15" w:type="dxa"/>
              <w:bottom w:w="0" w:type="dxa"/>
            </w:tcMar>
            <w:tcW w:w="1285" w:type="dxa"/>
            <w:vAlign w:val="bottom"/>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Mar>
              <w:left w:w="15" w:type="dxa"/>
              <w:top w:w="15" w:type="dxa"/>
              <w:right w:w="15" w:type="dxa"/>
              <w:bottom w:w="0" w:type="dxa"/>
            </w:tcMar>
            <w:tcW w:w="108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33"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22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856"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6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971"/>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971"/>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如果不提供详细分项报价将视为没有实质性响应询价文件。</w:t>
      </w:r>
      <w:r/>
    </w:p>
    <w:p>
      <w:pPr>
        <w:pStyle w:val="971"/>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供应商对以上数据的真实性负责。</w:t>
      </w:r>
      <w:r/>
    </w:p>
    <w:p>
      <w:pPr>
        <w:rPr>
          <w:rFonts w:hint="eastAsia" w:ascii="宋体" w:hAnsi="宋体" w:eastAsia="宋体" w:cs="宋体"/>
          <w:b/>
          <w:color w:val="auto"/>
          <w:sz w:val="24"/>
          <w:szCs w:val="24"/>
          <w:highlight w:val="none"/>
          <w:u w:val="single"/>
        </w:rPr>
      </w:pPr>
      <w:r>
        <w:rPr>
          <w:rFonts w:hint="eastAsia" w:ascii="宋体" w:hAnsi="宋体" w:cs="宋体"/>
          <w:b/>
          <w:color w:val="auto"/>
          <w:sz w:val="24"/>
          <w:szCs w:val="24"/>
          <w:highlight w:val="none"/>
          <w:u w:val="single"/>
          <w:lang w:val="en-US" w:eastAsia="zh-CN"/>
        </w:rPr>
        <w:t xml:space="preserve">采购人或采购代理机构</w:t>
      </w:r>
      <w:r>
        <w:rPr>
          <w:rFonts w:hint="eastAsia" w:ascii="宋体" w:hAnsi="宋体" w:eastAsia="宋体" w:cs="宋体"/>
          <w:b/>
          <w:color w:val="auto"/>
          <w:sz w:val="24"/>
          <w:szCs w:val="24"/>
          <w:highlight w:val="none"/>
          <w:u w:val="single"/>
        </w:rPr>
        <w:t xml:space="preserve">有权将以上内容进行公示。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96"/>
        <w:jc w:val="center"/>
        <w:keepLines w:val="0"/>
        <w:keepNext w:val="0"/>
        <w:pageBreakBefore w:val="0"/>
        <w:spacing w:line="360" w:lineRule="auto"/>
        <w:widowControl/>
        <w:rPr>
          <w:rFonts w:hint="eastAsia" w:ascii="宋体" w:hAnsi="宋体" w:eastAsia="宋体" w:cs="宋体"/>
          <w:b/>
          <w:bCs/>
          <w:color w:val="auto"/>
          <w:sz w:val="24"/>
          <w:szCs w:val="24"/>
          <w:highlight w:val="none"/>
        </w:rPr>
        <w:sectPr>
          <w:footnotePr/>
          <w:endnotePr/>
          <w:type w:val="nextPage"/>
          <w:pgSz w:w="11906" w:h="16838" w:orient="portrait"/>
          <w:pgMar w:top="1270" w:right="1400" w:bottom="1270" w:left="1400" w:header="851" w:footer="992" w:gutter="0"/>
          <w:cols w:num="1" w:sep="0" w:space="720" w:equalWidth="1"/>
          <w:docGrid w:linePitch="360"/>
          <w:titlePg/>
        </w:sectPr>
        <w:outlineLvl w:val="2"/>
      </w:pPr>
      <w:r>
        <w:rPr>
          <w:rFonts w:hint="eastAsia" w:ascii="宋体" w:hAnsi="宋体" w:eastAsia="宋体" w:cs="宋体"/>
          <w:b/>
          <w:bCs/>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JSZC-320382-JSRY-X2025-0026</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2025年中央农业防灾减灾和水利救灾资金（防灾减灾第三批）农作物重大病虫害防控项目</w:t>
      </w:r>
      <w:r/>
    </w:p>
    <w:tbl>
      <w:tblPr>
        <w:tblStyle w:val="796"/>
        <w:tblW w:w="963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
        <w:gridCol w:w="971"/>
        <w:gridCol w:w="2689"/>
        <w:gridCol w:w="1586"/>
        <w:gridCol w:w="1360"/>
        <w:gridCol w:w="2137"/>
      </w:tblGrid>
      <w:tr>
        <w:trPr>
          <w:trHeight w:val="936"/>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响应文件中的内容</w:t>
            </w:r>
            <w:r/>
          </w:p>
        </w:tc>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1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792"/>
        <w:jc w:val="both"/>
        <w:spacing w:line="360" w:lineRule="auto"/>
        <w:widowControl w:val="off"/>
        <w:rPr>
          <w:rFonts w:hint="eastAsia" w:ascii="宋体" w:hAnsi="宋体" w:eastAsia="宋体" w:cs="宋体"/>
          <w:color w:val="auto"/>
          <w:sz w:val="24"/>
          <w:szCs w:val="24"/>
          <w:highlight w:val="none"/>
        </w:rPr>
      </w:pPr>
      <w:r/>
      <w:bookmarkStart w:id="0" w:name="_Toc168476041"/>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0"/>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拟签订的合同文本</w:t>
      </w:r>
      <w:r/>
    </w:p>
    <w:p>
      <w:pPr>
        <w:ind w:firstLine="482"/>
        <w:jc w:val="center"/>
        <w:spacing w:line="360" w:lineRule="auto"/>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（以采购人与成交供应商最终签订版本为准）</w:t>
      </w:r>
      <w:r/>
    </w:p>
    <w:p>
      <w:pPr>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项目名称：</w:t>
      </w:r>
      <w:r>
        <w:rPr>
          <w:rFonts w:hint="eastAsia" w:ascii="宋体" w:hAnsi="宋体" w:eastAsia="宋体" w:cs="宋体"/>
          <w:color w:val="auto"/>
          <w:sz w:val="28"/>
          <w:szCs w:val="21"/>
          <w:highlight w:val="none"/>
          <w:lang w:eastAsia="zh-CN"/>
        </w:rPr>
        <w:t xml:space="preserve">2025年中央农业防灾减灾和水利救灾资金（防灾减灾第三批）农作物重大病虫害防控项目</w:t>
      </w:r>
      <w:r/>
    </w:p>
    <w:p>
      <w:pPr>
        <w:spacing w:line="360" w:lineRule="auto"/>
        <w:rPr>
          <w:rFonts w:hint="eastAsia" w:ascii="宋体" w:hAnsi="宋体" w:eastAsia="宋体" w:cs="宋体"/>
          <w:color w:val="auto"/>
          <w:sz w:val="72"/>
          <w:szCs w:val="72"/>
          <w:highlight w:val="none"/>
        </w:rPr>
      </w:pPr>
      <w:r>
        <w:rPr>
          <w:rFonts w:hint="eastAsia" w:ascii="宋体" w:hAnsi="宋体" w:eastAsia="宋体" w:cs="宋体"/>
          <w:color w:val="auto"/>
          <w:sz w:val="28"/>
          <w:szCs w:val="21"/>
          <w:highlight w:val="none"/>
        </w:rPr>
        <w:t xml:space="preserve">项目编号：</w:t>
      </w:r>
      <w:r>
        <w:rPr>
          <w:rFonts w:hint="eastAsia" w:ascii="宋体" w:hAnsi="宋体" w:cs="宋体"/>
          <w:color w:val="auto"/>
          <w:sz w:val="28"/>
          <w:szCs w:val="21"/>
          <w:highlight w:val="none"/>
          <w:lang w:eastAsia="zh-CN"/>
        </w:rPr>
        <w:t xml:space="preserve">JSZC-320382-JSRY-X2025-0026</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1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邳州市农业农村局</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firstLine="560"/>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bidi="ar-SA"/>
        </w:rPr>
        <w:t xml:space="preserve">供应商（乙方）：</w:t>
      </w:r>
      <w:r>
        <w:rPr>
          <w:rFonts w:hint="eastAsia" w:ascii="宋体" w:hAnsi="宋体" w:eastAsia="宋体" w:cs="宋体"/>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 w:name="_Hlk63008672"/>
      <w:r/>
      <w:bookmarkStart w:id="2" w:name="_Hlk63008690"/>
      <w:r>
        <w:rPr>
          <w:rFonts w:hint="eastAsia" w:ascii="宋体" w:hAnsi="宋体" w:eastAsia="宋体" w:cs="宋体"/>
          <w:color w:val="auto"/>
          <w:sz w:val="24"/>
          <w:szCs w:val="24"/>
          <w:highlight w:val="none"/>
          <w:lang w:val="en-US" w:eastAsia="zh-CN" w:bidi="ar-SA"/>
        </w:rPr>
        <w:t xml:space="preserve">根据《中华人民共和国政府采购法》及其实施条例、《中华人民共和国民法典（合同编）》</w:t>
      </w:r>
      <w:bookmarkEnd w:id="1"/>
      <w:r>
        <w:rPr>
          <w:rFonts w:hint="eastAsia" w:ascii="宋体" w:hAnsi="宋体" w:eastAsia="宋体" w:cs="宋体"/>
          <w:color w:val="auto"/>
          <w:sz w:val="24"/>
          <w:szCs w:val="24"/>
          <w:highlight w:val="none"/>
          <w:lang w:val="en-US" w:eastAsia="zh-CN" w:bidi="ar-SA"/>
        </w:rPr>
        <w:t xml:space="preserve">等法律法规的规定</w:t>
      </w:r>
      <w:bookmarkEnd w:id="2"/>
      <w:r>
        <w:rPr>
          <w:rFonts w:hint="eastAsia" w:ascii="宋体" w:hAnsi="宋体" w:eastAsia="宋体" w:cs="宋体"/>
          <w:color w:val="auto"/>
          <w:sz w:val="24"/>
          <w:szCs w:val="24"/>
          <w:highlight w:val="none"/>
          <w:lang w:val="en-US" w:eastAsia="zh-CN" w:bidi="ar-SA"/>
        </w:rPr>
        <w:t xml:space="preserve">，甲乙双方按照</w:t>
      </w:r>
      <w:r>
        <w:rPr>
          <w:rFonts w:hint="eastAsia" w:ascii="宋体" w:hAnsi="宋体" w:eastAsia="宋体" w:cs="宋体"/>
          <w:color w:val="auto"/>
          <w:sz w:val="24"/>
          <w:szCs w:val="24"/>
          <w:highlight w:val="none"/>
          <w:u w:val="single"/>
          <w:lang w:val="en-US" w:eastAsia="zh-CN" w:bidi="ar-SA"/>
        </w:rPr>
        <w:t xml:space="preserve">2025年中央农业防灾减灾和水利救灾资金（防灾减灾第三批）农作物重大病虫害防控项目（项目编号：</w:t>
      </w:r>
      <w:r>
        <w:rPr>
          <w:rFonts w:hint="eastAsia" w:ascii="宋体" w:hAnsi="宋体" w:cs="宋体"/>
          <w:color w:val="auto"/>
          <w:sz w:val="24"/>
          <w:szCs w:val="24"/>
          <w:highlight w:val="none"/>
          <w:u w:val="single"/>
          <w:lang w:val="en-US" w:eastAsia="zh-CN" w:bidi="ar-SA"/>
        </w:rPr>
        <w:t xml:space="preserve">JSZC-320382-JSRY-X2025-0026</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项目采购结果签订本合同。</w:t>
      </w:r>
      <w:r/>
    </w:p>
    <w:p>
      <w:pPr>
        <w:numPr>
          <w:ilvl w:val="0"/>
          <w:numId w:val="3"/>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价格：</w:t>
      </w:r>
      <w:r/>
    </w:p>
    <w:p>
      <w:pPr>
        <w:pStyle w:val="816"/>
        <w:ind w:left="479" w:right="0" w:firstLine="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rPr>
        <w:suppressLineNumbers w:val="0"/>
      </w:pPr>
      <w:r>
        <w:rPr>
          <w:rFonts w:hint="eastAsia" w:ascii="宋体" w:hAnsi="宋体" w:eastAsia="宋体" w:cs="宋体"/>
          <w:b/>
          <w:bCs w:val="0"/>
          <w:color w:val="auto"/>
          <w:sz w:val="24"/>
          <w:szCs w:val="24"/>
          <w:lang w:val="en-US" w:eastAsia="zh-CN" w:bidi="ar"/>
        </w:rPr>
        <w:t xml:space="preserve">3.1.签约合同优惠率为：</w:t>
      </w:r>
      <w:r>
        <w:rPr>
          <w:rFonts w:hint="eastAsia" w:ascii="宋体" w:hAnsi="宋体" w:eastAsia="宋体" w:cs="宋体"/>
          <w:b/>
          <w:bCs w:val="0"/>
          <w:color w:val="auto"/>
          <w:sz w:val="24"/>
          <w:szCs w:val="24"/>
          <w:u w:val="single"/>
          <w:lang w:val="en-US" w:eastAsia="zh-CN" w:bidi="ar"/>
        </w:rPr>
        <w:t xml:space="preserve">     </w:t>
      </w:r>
      <w:r>
        <w:rPr>
          <w:rFonts w:hint="eastAsia" w:ascii="宋体" w:hAnsi="宋体" w:eastAsia="宋体" w:cs="宋体"/>
          <w:b/>
          <w:bCs w:val="0"/>
          <w:color w:val="auto"/>
          <w:sz w:val="24"/>
          <w:szCs w:val="24"/>
          <w:u w:val="none"/>
          <w:lang w:val="en-US" w:eastAsia="zh-CN" w:bidi="ar"/>
        </w:rPr>
        <w:t xml:space="preserve">%，合同（大写：</w:t>
      </w:r>
      <w:r>
        <w:rPr>
          <w:rFonts w:hint="eastAsia" w:ascii="宋体" w:hAnsi="宋体" w:eastAsia="宋体" w:cs="宋体"/>
          <w:b/>
          <w:bCs w:val="0"/>
          <w:color w:val="auto"/>
          <w:sz w:val="24"/>
          <w:szCs w:val="24"/>
          <w:u w:val="single"/>
          <w:lang w:val="en-US" w:eastAsia="zh-CN" w:bidi="ar"/>
        </w:rPr>
        <w:t xml:space="preserve">                  </w:t>
      </w:r>
      <w:r>
        <w:rPr>
          <w:rFonts w:hint="eastAsia" w:ascii="宋体" w:hAnsi="宋体" w:eastAsia="宋体" w:cs="宋体"/>
          <w:b/>
          <w:bCs w:val="0"/>
          <w:color w:val="auto"/>
          <w:sz w:val="24"/>
          <w:szCs w:val="24"/>
          <w:u w:val="none"/>
          <w:lang w:val="en-US" w:eastAsia="zh-CN" w:bidi="ar"/>
        </w:rPr>
        <w:t xml:space="preserve">）；</w:t>
      </w:r>
      <w:r>
        <w:rPr>
          <w:rFonts w:hint="eastAsia" w:ascii="宋体" w:hAnsi="宋体" w:eastAsia="宋体" w:cs="宋体"/>
          <w:b/>
          <w:bCs w:val="0"/>
          <w:color w:val="auto"/>
          <w:sz w:val="24"/>
          <w:szCs w:val="24"/>
          <w:u w:val="none"/>
          <w:lang w:val="en-US" w:eastAsia="zh-CN" w:bidi="ar"/>
        </w:rPr>
        <w:br/>
      </w:r>
      <w:r>
        <w:rPr>
          <w:rFonts w:hint="eastAsia" w:ascii="宋体" w:hAnsi="宋体" w:eastAsia="宋体" w:cs="宋体"/>
          <w:b/>
          <w:bCs w:val="0"/>
          <w:color w:val="auto"/>
          <w:sz w:val="24"/>
          <w:szCs w:val="24"/>
          <w:u w:val="none"/>
          <w:lang w:val="en-US" w:eastAsia="zh-CN" w:bidi="ar"/>
        </w:rPr>
        <w:t xml:space="preserve">3.2按照采购文件约定，结算价为：</w:t>
      </w:r>
      <w:r/>
    </w:p>
    <w:tbl>
      <w:tblPr>
        <w:tblStyle w:val="818"/>
        <w:tblW w:w="10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958"/>
        <w:gridCol w:w="1541"/>
        <w:gridCol w:w="1853"/>
        <w:gridCol w:w="1195"/>
        <w:gridCol w:w="1391"/>
        <w:gridCol w:w="1390"/>
        <w:gridCol w:w="1390"/>
      </w:tblGrid>
      <w:tr>
        <w:trPr>
          <w:jc w:val="center"/>
          <w:trHeight w:val="997"/>
        </w:trPr>
        <w:tc>
          <w:tcPr>
            <w:tcW w:w="5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序号</w:t>
            </w:r>
            <w:r/>
          </w:p>
        </w:tc>
        <w:tc>
          <w:tcPr>
            <w:tcW w:w="9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产品名称</w:t>
            </w:r>
            <w:r/>
          </w:p>
        </w:tc>
        <w:tc>
          <w:tcPr>
            <w:tcW w:w="15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技术规格</w:t>
            </w:r>
            <w:r/>
          </w:p>
        </w:tc>
        <w:tc>
          <w:tcPr>
            <w:tcW w:w="1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基准单价</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（元）</w:t>
            </w:r>
            <w:r/>
          </w:p>
        </w:tc>
        <w:tc>
          <w:tcPr>
            <w:tcW w:w="11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成交优惠率</w:t>
            </w:r>
            <w:r/>
          </w:p>
        </w:tc>
        <w:tc>
          <w:tcPr>
            <w:tcW w:w="1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结算单价（元）</w:t>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结算数量（单位）</w:t>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结算总价（元）</w:t>
            </w:r>
            <w:r/>
          </w:p>
        </w:tc>
      </w:tr>
      <w:tr>
        <w:trPr>
          <w:jc w:val="center"/>
          <w:trHeight w:val="508"/>
        </w:trPr>
        <w:tc>
          <w:tcPr>
            <w:tcW w:w="5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1</w:t>
            </w:r>
            <w:r/>
          </w:p>
        </w:tc>
        <w:tc>
          <w:tcPr>
            <w:tcW w:w="9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5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1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r>
      <w:tr>
        <w:trPr>
          <w:jc w:val="center"/>
          <w:trHeight w:val="508"/>
        </w:trPr>
        <w:tc>
          <w:tcPr>
            <w:tcW w:w="5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2</w:t>
            </w:r>
            <w:r/>
          </w:p>
        </w:tc>
        <w:tc>
          <w:tcPr>
            <w:tcW w:w="9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5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1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r>
      <w:tr>
        <w:trPr>
          <w:jc w:val="center"/>
          <w:trHeight w:val="508"/>
        </w:trPr>
        <w:tc>
          <w:tcPr>
            <w:tcW w:w="5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3</w:t>
            </w:r>
            <w:r/>
          </w:p>
        </w:tc>
        <w:tc>
          <w:tcPr>
            <w:tcW w:w="9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5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1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r>
      <w:tr>
        <w:trPr>
          <w:jc w:val="center"/>
          <w:trHeight w:val="529"/>
        </w:trPr>
        <w:tc>
          <w:tcPr>
            <w:tcW w:w="5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w:t>
            </w:r>
            <w:r/>
          </w:p>
        </w:tc>
        <w:tc>
          <w:tcPr>
            <w:tcW w:w="9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5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1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r>
      <w:tr>
        <w:trPr>
          <w:jc w:val="center"/>
          <w:trHeight w:val="529"/>
        </w:trPr>
        <w:tc>
          <w:tcPr>
            <w:gridSpan w:val="7"/>
            <w:tcW w:w="890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t xml:space="preserve">合计</w:t>
            </w:r>
            <w:r/>
          </w:p>
        </w:tc>
        <w:tc>
          <w:tcPr>
            <w:tcW w:w="13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4"/>
                <w:szCs w:val="24"/>
                <w:vertAlign w:val="baseline"/>
                <w:lang w:val="en-US" w:eastAsia="zh-CN" w:bidi="ar-SA"/>
              </w:rPr>
              <w:suppressLineNumbers w:val="0"/>
            </w:pPr>
            <w:r>
              <w:rPr>
                <w:rFonts w:hint="eastAsia" w:ascii="宋体" w:hAnsi="宋体" w:eastAsia="宋体" w:cs="宋体"/>
                <w:b/>
                <w:bCs w:val="0"/>
                <w:color w:val="auto"/>
                <w:sz w:val="24"/>
                <w:szCs w:val="24"/>
                <w:vertAlign w:val="baseline"/>
                <w:lang w:val="en-US" w:eastAsia="zh-CN" w:bidi="ar-SA"/>
              </w:rPr>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0"/>
          <w:lang w:val="en-US" w:eastAsia="zh-CN"/>
        </w:rPr>
        <w:t xml:space="preserve">注：结算单价为基准单价*（1-优惠率）。本项目采用固定总价且不设具体数量采购，各标的最终成交数量以各标的预算金额/结算单价，取整数至个位。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交货时间：乙方应当在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交货地点：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伴随服务/售后服务</w:t>
      </w:r>
      <w:r/>
    </w:p>
    <w:p>
      <w:pPr>
        <w:ind w:left="0" w:right="0" w:firstLine="480"/>
        <w:spacing w:before="0"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1、乙方应按照国家有关法律法规规章和“三包”规定以及合同所附的“服务承诺”提供服务。</w:t>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2、以上报价含到户发放、宣传培训、验收、检验检测、审计等费用。</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2、付款方式：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合同价款的百分之三十(30%)即￥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         元整，在双方签订合同后，买方收到乙方正式发票15日内办理政府采购资金结算手续支付给乙方。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合同总价的百分之七十(70%)即￥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         元整，合同标的全部交付并安装完毕验收后，买方收到乙方正式发票15日内，由买方办理政府采购资金结算手续，经审核后支付给卖方。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卖方需提交的支付文件包括：卖方出具的全额正式发票。</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乙方不得擅自部分或全部转让其应履行的合同义务。</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highlight w:val="none"/>
          <w:u w:val="single"/>
          <w:lang w:val="en-US" w:eastAsia="zh-CN" w:bidi="ar-SA"/>
        </w:rPr>
        <w:t xml:space="preserve"> 邳州市 </w:t>
      </w:r>
      <w:r>
        <w:rPr>
          <w:rFonts w:hint="eastAsia" w:ascii="宋体" w:hAnsi="宋体" w:eastAsia="宋体" w:cs="宋体"/>
          <w:color w:val="auto"/>
          <w:sz w:val="24"/>
          <w:szCs w:val="24"/>
          <w:highlight w:val="none"/>
          <w:lang w:val="en-US" w:eastAsia="zh-CN" w:bidi="ar-SA"/>
        </w:rPr>
        <w:t xml:space="preserve">人民法院提起诉讼。</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3、本采购合同一式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份，分别由甲方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份、乙方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份、代理机构</w:t>
      </w:r>
      <w:r>
        <w:rPr>
          <w:rFonts w:hint="eastAsia" w:ascii="宋体" w:hAnsi="宋体" w:eastAsia="宋体" w:cs="宋体"/>
          <w:color w:val="auto"/>
          <w:sz w:val="24"/>
          <w:szCs w:val="24"/>
          <w:highlight w:val="none"/>
          <w:u w:val="single"/>
          <w:lang w:val="en-US" w:eastAsia="zh-CN" w:bidi="ar-SA"/>
        </w:rPr>
        <w:t xml:space="preserve">壹</w:t>
      </w:r>
      <w:r>
        <w:rPr>
          <w:rFonts w:hint="eastAsia" w:ascii="宋体" w:hAnsi="宋体" w:eastAsia="宋体" w:cs="宋体"/>
          <w:color w:val="auto"/>
          <w:sz w:val="24"/>
          <w:szCs w:val="24"/>
          <w:highlight w:val="none"/>
          <w:lang w:val="en-US" w:eastAsia="zh-CN" w:bidi="ar-SA"/>
        </w:rPr>
        <w:t xml:space="preserve">份。</w:t>
      </w:r>
      <w:r/>
    </w:p>
    <w:p>
      <w:pPr>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签订日期：                          签订日期：    </w:t>
      </w:r>
      <w:r>
        <w:rPr>
          <w:rFonts w:hint="eastAsia" w:ascii="仿宋" w:hAnsi="仿宋" w:eastAsia="仿宋" w:cs="仿宋"/>
          <w:color w:val="auto"/>
          <w:sz w:val="24"/>
          <w:szCs w:val="24"/>
          <w:highlight w:val="none"/>
          <w:lang w:val="en-US" w:eastAsia="zh-CN" w:bidi="ar-SA"/>
        </w:rPr>
        <w:t xml:space="preserve">     </w:t>
      </w:r>
      <w:r/>
    </w:p>
    <w:p>
      <w:pPr>
        <w:ind w:left="400"/>
        <w:jc w:val="both"/>
        <w:spacing w:after="120"/>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）无转委托权。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   年  月  日起至  年  月  日止。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45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ind w:firstLine="45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 </w:t>
      </w:r>
      <w:r/>
    </w:p>
    <w:p>
      <w:pPr>
        <w:ind w:firstLine="45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ind w:firstLine="45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受托人联系方式：        邮箱：</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(受托人身份证原件扫描件附后)</w:t>
      </w:r>
      <w:r/>
    </w:p>
    <w:p>
      <w:pPr>
        <w:jc w:val="center"/>
        <w:spacing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中小企业声明函</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JSZC-320382-JSRY-X2025-0026</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2025年中央农业防灾减灾和水利救灾资金（防灾减灾第三批）农作物重大病虫害防控项目</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邳州市农业农村局</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2025年中央农业防灾减灾和水利救灾资金（防灾减灾第三批）农作物重大病虫害防控项目</w:t>
      </w:r>
      <w:r>
        <w:rPr>
          <w:rFonts w:hint="eastAsia" w:ascii="宋体" w:hAnsi="宋体" w:cs="宋体"/>
          <w:color w:val="auto"/>
          <w:sz w:val="24"/>
          <w:szCs w:val="24"/>
          <w:highlight w:val="none"/>
        </w:rPr>
        <w:t xml:space="preserve">）采购活动，提供的货物全部由符合政策要求的中小企业制造。</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相关企业的具体情况如下：</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符合政策要求的中小企业制造。相关企业的具体情况如下：</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仿宋" w:hAnsi="仿宋" w:eastAsia="仿宋" w:cs="仿宋"/>
          <w:color w:val="auto"/>
          <w:sz w:val="24"/>
          <w:highlight w:val="none"/>
        </w:rPr>
      </w:pPr>
      <w:r>
        <w:rPr>
          <w:rFonts w:hint="eastAsia" w:ascii="宋体" w:hAnsi="宋体" w:cs="宋体"/>
          <w:color w:val="auto"/>
          <w:sz w:val="24"/>
          <w:szCs w:val="24"/>
          <w:highlight w:val="none"/>
          <w:lang w:val="en-US" w:eastAsia="zh-CN"/>
        </w:rPr>
        <w:t xml:space="preserve">2.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p>
    <w:p>
      <w:pPr>
        <w:pStyle w:val="801"/>
        <w:ind w:left="0" w:firstLine="561"/>
        <w:keepLines w:val="0"/>
        <w:keepNext w:val="0"/>
        <w:pageBreakBefore w:val="0"/>
        <w:spacing w:after="0"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ind w:firstLine="480"/>
        <w:jc w:val="left"/>
        <w:keepLines w:val="0"/>
        <w:keepNext w:val="0"/>
        <w:pageBreakBefore w:val="0"/>
        <w:spacing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jc w:val="left"/>
        <w:keepLines w:val="0"/>
        <w:keepNext w:val="0"/>
        <w:pageBreakBefore w:val="0"/>
        <w:spacing w:line="28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pStyle w:val="816"/>
        <w:ind w:left="0" w:righ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备注：</w:t>
      </w:r>
      <w:r/>
    </w:p>
    <w:p>
      <w:pPr>
        <w:pStyle w:val="816"/>
        <w:ind w:lef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pStyle w:val="816"/>
        <w:ind w:left="0" w:firstLine="562"/>
        <w:jc w:val="both"/>
        <w:keepLines w:val="0"/>
        <w:keepNext w:val="0"/>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10"/>
          <w:footerReference w:type="default" r:id="rId14"/>
          <w:footnotePr/>
          <w:endnotePr/>
          <w:type w:val="nextPage"/>
          <w:pgSz w:w="11906" w:h="16838" w:orient="portrait"/>
          <w:pgMar w:top="1327" w:right="1400" w:bottom="1383" w:left="1400" w:header="851" w:footer="992" w:gutter="0"/>
          <w:cols w:num="1" w:sep="0" w:space="720" w:equalWidth="1"/>
          <w:docGrid w:linePitch="360"/>
        </w:sectPr>
        <w:suppressLineNumbers w:val="0"/>
      </w:pPr>
      <w:r>
        <w:rPr>
          <w:rFonts w:hint="eastAsia" w:ascii="宋体" w:hAnsi="宋体" w:eastAsia="宋体" w:cs="宋体"/>
          <w:b/>
          <w:bCs/>
          <w:color w:val="auto"/>
          <w:sz w:val="24"/>
          <w:szCs w:val="24"/>
          <w:highlight w:val="none"/>
        </w:rPr>
        <w:t xml:space="preserve">2、中小企业声明函查询渠道用微信搜索“中小企业规模类型自测小程序”，测试者可按照小程序填写测试企业有关信息并完成自测后，保存自测结果自行打印。</w:t>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9</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供应商参加政府采购活动前3年内在经营活动中没有重大违法记录的书面声明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2025年中央农业防灾减灾和水利救灾资金（防灾减灾第三批）农作物重大病虫害防控项目</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JSZC-320382-JSRY-X2025-0026</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0"/>
        <w:keepLines w:val="0"/>
        <w:keepNext w:val="0"/>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keepLines w:val="0"/>
        <w:keepNext w:val="0"/>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10</w:t>
      </w:r>
      <w:bookmarkStart w:id="3" w:name="OLE_LINK13"/>
      <w:r/>
      <w:bookmarkStart w:id="4" w:name="OLE_LINK14"/>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残疾人福利性单位声明函</w:t>
      </w:r>
      <w:bookmarkEnd w:id="3"/>
      <w:r/>
      <w:bookmarkEnd w:id="4"/>
      <w:r/>
      <w:r/>
    </w:p>
    <w:p>
      <w:pPr>
        <w:jc w:val="center"/>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具备履行合同所必需的设备和专业技术能力的书面声明（附证明材料原件的扫描件</w:t>
      </w:r>
      <w:r>
        <w:rPr>
          <w:rFonts w:hint="eastAsia" w:ascii="宋体" w:hAnsi="宋体" w:cs="宋体"/>
          <w:b/>
          <w:bCs/>
          <w:color w:val="auto"/>
          <w:sz w:val="28"/>
          <w:szCs w:val="28"/>
          <w:highlight w:val="none"/>
          <w:lang w:val="en-US" w:eastAsia="zh-CN"/>
        </w:rPr>
        <w:t xml:space="preserve">，供应商可自行拟定</w:t>
      </w:r>
      <w:r>
        <w:rPr>
          <w:rFonts w:hint="eastAsia" w:ascii="宋体" w:hAnsi="宋体" w:eastAsia="宋体" w:cs="宋体"/>
          <w:b/>
          <w:bCs/>
          <w:color w:val="auto"/>
          <w:sz w:val="28"/>
          <w:szCs w:val="28"/>
          <w:highlight w:val="none"/>
          <w:lang w:val="en-US"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u w:val="single"/>
          <w:lang w:eastAsia="zh-CN"/>
        </w:rPr>
        <w:t xml:space="preserve">2025年中央农业防灾减灾和水利救灾资金（防灾减灾第三批）农作物重大病虫害防控项目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JSZC-320382-JSRY-X2025-0026</w:t>
      </w:r>
      <w:r>
        <w:rPr>
          <w:rFonts w:hint="eastAsia" w:ascii="宋体" w:hAnsi="宋体" w:eastAsia="宋体" w:cs="宋体"/>
          <w:color w:val="auto"/>
          <w:sz w:val="24"/>
          <w:szCs w:val="24"/>
          <w:highlight w:val="none"/>
        </w:rPr>
        <w:t xml:space="preserve">）所必需的设备和专业技术能力，具体为：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36"/>
          <w:szCs w:val="36"/>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lang w:val="en-US" w:eastAsia="zh-CN"/>
        </w:rPr>
        <w:t xml:space="preserve">13</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招标代理服务收费标准</w:t>
      </w:r>
      <w:r/>
    </w:p>
    <w:p>
      <w:pPr>
        <w:ind w:left="0" w:right="0"/>
        <w:jc w:val="center"/>
        <w:keepLines w:val="0"/>
        <w:keepNext w:val="0"/>
        <w:spacing w:before="0" w:beforeAutospacing="0" w:after="0" w:afterAutospacing="0"/>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r>
      <w:r/>
    </w:p>
    <w:tbl>
      <w:tblPr>
        <w:tblStyle w:val="796"/>
        <w:tblW w:w="0" w:type="auto"/>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7"/>
        <w:gridCol w:w="2853"/>
      </w:tblGrid>
      <w:tr>
        <w:trPr>
          <w:tblCellSpacing w:w="0" w:type="dxa"/>
          <w:trHeight w:val="47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中标或成交金额</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费率</w:t>
            </w:r>
            <w:r/>
          </w:p>
        </w:tc>
      </w:tr>
      <w:tr>
        <w:trPr>
          <w:tblCellSpacing w:w="0" w:type="dxa"/>
          <w:trHeight w:val="489"/>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5000元</w:t>
            </w:r>
            <w:r/>
          </w:p>
        </w:tc>
      </w:tr>
      <w:tr>
        <w:trPr>
          <w:tblCellSpacing w:w="0" w:type="dxa"/>
          <w:trHeight w:val="43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w:t>
            </w:r>
            <w:r/>
          </w:p>
        </w:tc>
      </w:tr>
      <w:tr>
        <w:trPr>
          <w:tblCellSpacing w:w="0" w:type="dxa"/>
          <w:trHeight w:val="41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tblCellSpacing w:w="0" w:type="dxa"/>
          <w:trHeight w:val="605"/>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0.80%</w:t>
            </w:r>
            <w:r/>
          </w:p>
        </w:tc>
      </w:tr>
      <w:tr>
        <w:trPr>
          <w:tblCellSpacing w:w="0" w:type="dxa"/>
          <w:trHeight w:val="486"/>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1-10亿（含10亿元）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0.01%</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0.01%</w:t>
            </w:r>
            <w:r/>
          </w:p>
        </w:tc>
      </w:tr>
    </w:tbl>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1.按上表计算的收费为代理服务全过程的收费金额。各社会代理机构不另外收取采购文件制作售卖费用。</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2.代理服务费按差额定率累进法计算。</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3.代理服务费基准金额（按差额定率累进法计算的）=中标金额（按差额定率累进法计算的）* 费率（%）</w:t>
      </w:r>
      <w:r/>
    </w:p>
    <w:p>
      <w:pPr>
        <w:spacing w:line="360" w:lineRule="auto"/>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4.代理服务费应收取金额=代理服务费基准金额（按差额定率累进法计算的）的合计数</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5.计算出的代理服务费应收取金额如低于5千元，按5千元收取；</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6.定点类等无金额或事先不能计算出价格总额的项目，按中标（成交）金额100万元计算服务费。</w:t>
      </w:r>
      <w:r/>
    </w:p>
    <w:p>
      <w:pPr>
        <w:keepLines w:val="0"/>
        <w:keepNext w:val="0"/>
        <w:pageBreakBefore w:val="0"/>
        <w:spacing w:after="0" w:line="24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账户信息：</w:t>
      </w:r>
      <w:r/>
    </w:p>
    <w:p>
      <w:pPr>
        <w:ind w:firstLine="540"/>
        <w:keepLines w:val="0"/>
        <w:keepNext w:val="0"/>
        <w:pageBreakBefore w:val="0"/>
        <w:spacing w:after="0" w:line="240" w:lineRule="auto"/>
        <w:widowControl/>
        <w:rPr>
          <w:rFonts w:ascii="宋体" w:hAnsi="宋体" w:cs="宋体"/>
          <w:color w:val="auto"/>
          <w:sz w:val="24"/>
          <w:highlight w:val="none"/>
        </w:rPr>
      </w:pPr>
      <w:r>
        <w:rPr>
          <w:rFonts w:hint="eastAsia" w:ascii="宋体" w:hAnsi="宋体" w:cs="宋体"/>
          <w:color w:val="auto"/>
          <w:sz w:val="24"/>
          <w:highlight w:val="none"/>
        </w:rPr>
        <w:t xml:space="preserve">账户名称：</w:t>
      </w:r>
      <w:r>
        <w:rPr>
          <w:rFonts w:hint="eastAsia" w:ascii="宋体" w:hAnsi="宋体" w:eastAsia="宋体" w:cs="宋体"/>
          <w:sz w:val="24"/>
          <w:szCs w:val="24"/>
          <w:highlight w:val="none"/>
          <w:lang w:eastAsia="zh-CN"/>
        </w:rPr>
        <w:t xml:space="preserve">江苏瑞阳工程咨询有限公司</w:t>
      </w:r>
      <w:r/>
    </w:p>
    <w:p>
      <w:pPr>
        <w:ind w:firstLine="540"/>
        <w:keepLines w:val="0"/>
        <w:keepNext w:val="0"/>
        <w:pageBreakBefore w:val="0"/>
        <w:spacing w:after="0" w:line="240" w:lineRule="auto"/>
        <w:widowControl/>
        <w:rPr>
          <w:rFonts w:ascii="宋体" w:hAnsi="宋体" w:cs="宋体"/>
          <w:color w:val="auto"/>
          <w:sz w:val="24"/>
          <w:highlight w:val="none"/>
        </w:rPr>
      </w:pPr>
      <w:r>
        <w:rPr>
          <w:rFonts w:hint="eastAsia" w:ascii="宋体" w:hAnsi="宋体" w:cs="宋体"/>
          <w:color w:val="auto"/>
          <w:sz w:val="24"/>
          <w:highlight w:val="none"/>
        </w:rPr>
        <w:t xml:space="preserve">开户账号：</w:t>
      </w:r>
      <w:r>
        <w:rPr>
          <w:rFonts w:hint="eastAsia" w:ascii="宋体" w:hAnsi="宋体" w:eastAsia="宋体" w:cs="宋体"/>
          <w:sz w:val="24"/>
          <w:szCs w:val="24"/>
          <w:highlight w:val="none"/>
          <w:lang w:eastAsia="zh-CN"/>
        </w:rPr>
        <w:t xml:space="preserve">60120188000169389</w:t>
      </w:r>
      <w:r/>
    </w:p>
    <w:p>
      <w:pPr>
        <w:ind w:firstLine="540"/>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开户银行：</w:t>
      </w:r>
      <w:r>
        <w:rPr>
          <w:rFonts w:hint="eastAsia" w:ascii="宋体" w:hAnsi="宋体" w:eastAsia="宋体" w:cs="宋体"/>
          <w:sz w:val="24"/>
          <w:szCs w:val="24"/>
          <w:highlight w:val="none"/>
          <w:lang w:eastAsia="zh-CN"/>
        </w:rPr>
        <w:t xml:space="preserve">江苏银行股份有限公司徐州泰隆支行</w:t>
      </w:r>
      <w:r/>
    </w:p>
    <w:p>
      <w:pPr>
        <w:spacing w:line="40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400" w:lineRule="exac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color w:val="auto"/>
          <w:highlight w:val="none"/>
        </w:rPr>
      </w:pPr>
      <w:r>
        <w:rPr>
          <w:color w:val="auto"/>
          <w:highlight w:val="none"/>
        </w:rPr>
      </w:r>
      <w:r/>
    </w:p>
    <w:sectPr>
      <w:footnotePr/>
      <w:endnotePr/>
      <w:type w:val="nextPage"/>
      <w:pgSz w:w="11906" w:h="16838" w:orient="portrait"/>
      <w:pgMar w:top="1383" w:right="1457" w:bottom="1383" w:left="14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alibri">
    <w:panose1 w:val="020F0502020204030204"/>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2</w:t>
    </w:r>
    <w:r>
      <w:fldChar w:fldCharType="end"/>
    </w:r>
    <w:r/>
  </w:p>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rPr>
        <w:rFonts w:hint="default" w:eastAsia="宋体"/>
        <w:lang w:val="en-US" w:eastAsia="zh-CN"/>
      </w:rPr>
    </w:pPr>
    <w:r>
      <w:rPr>
        <w:rFonts w:hint="default"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02"/>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24"/>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25"/>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6"/>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27"/>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28"/>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29"/>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1"/>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2"/>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0"/>
    <w:semiHidden/>
    <w:qFormat/>
  </w:style>
  <w:style w:type="table" w:styleId="796" w:default="1">
    <w:name w:val="Normal Table"/>
    <w:uiPriority w:val="0"/>
    <w:semiHidden/>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Caption"/>
    <w:basedOn w:val="785"/>
    <w:next w:val="7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9">
    <w:name w:val="annotation text"/>
    <w:basedOn w:val="785"/>
    <w:uiPriority w:val="99"/>
    <w:semiHidden/>
    <w:unhideWhenUsed/>
    <w:qFormat/>
    <w:pPr>
      <w:jc w:val="left"/>
    </w:pPr>
  </w:style>
  <w:style w:type="paragraph" w:styleId="800">
    <w:name w:val="Body Text"/>
    <w:basedOn w:val="785"/>
    <w:uiPriority w:val="0"/>
    <w:unhideWhenUsed/>
    <w:qFormat/>
    <w:rPr>
      <w:rFonts w:ascii="金山简黑体" w:hAnsi="Courier New" w:eastAsia="金山简黑体"/>
      <w:b/>
      <w:spacing w:val="-8"/>
      <w:sz w:val="44"/>
      <w:szCs w:val="20"/>
    </w:rPr>
  </w:style>
  <w:style w:type="paragraph" w:styleId="801">
    <w:name w:val="Body Text Indent"/>
    <w:basedOn w:val="785"/>
    <w:uiPriority w:val="0"/>
    <w:qFormat/>
    <w:pPr>
      <w:ind w:left="420"/>
      <w:spacing w:after="120"/>
    </w:pPr>
    <w:rPr>
      <w:rFonts w:ascii="Calibri" w:hAnsi="Calibri"/>
    </w:rPr>
  </w:style>
  <w:style w:type="paragraph" w:styleId="802">
    <w:name w:val="toc 5"/>
    <w:basedOn w:val="785"/>
    <w:next w:val="785"/>
    <w:uiPriority w:val="39"/>
    <w:unhideWhenUsed/>
    <w:qFormat/>
    <w:pPr>
      <w:ind w:left="1134" w:right="0" w:firstLine="0"/>
      <w:spacing w:after="57"/>
    </w:pPr>
  </w:style>
  <w:style w:type="paragraph" w:styleId="803">
    <w:name w:val="toc 3"/>
    <w:basedOn w:val="785"/>
    <w:next w:val="785"/>
    <w:uiPriority w:val="39"/>
    <w:unhideWhenUsed/>
    <w:qFormat/>
    <w:pPr>
      <w:ind w:left="567" w:right="0" w:firstLine="0"/>
      <w:spacing w:after="57"/>
    </w:pPr>
  </w:style>
  <w:style w:type="paragraph" w:styleId="804">
    <w:name w:val="toc 8"/>
    <w:basedOn w:val="785"/>
    <w:next w:val="785"/>
    <w:uiPriority w:val="39"/>
    <w:unhideWhenUsed/>
    <w:qFormat/>
    <w:pPr>
      <w:ind w:left="1984" w:right="0" w:firstLine="0"/>
      <w:spacing w:after="57"/>
    </w:pPr>
  </w:style>
  <w:style w:type="paragraph" w:styleId="805">
    <w:name w:val="endnote text"/>
    <w:basedOn w:val="785"/>
    <w:link w:val="969"/>
    <w:uiPriority w:val="99"/>
    <w:semiHidden/>
    <w:unhideWhenUsed/>
    <w:qFormat/>
    <w:pPr>
      <w:spacing w:after="0" w:line="240" w:lineRule="auto"/>
    </w:pPr>
    <w:rPr>
      <w:sz w:val="20"/>
    </w:rPr>
  </w:style>
  <w:style w:type="paragraph" w:styleId="806">
    <w:name w:val="Footer"/>
    <w:basedOn w:val="785"/>
    <w:uiPriority w:val="99"/>
    <w:unhideWhenUsed/>
    <w:qFormat/>
    <w:pPr>
      <w:spacing w:after="0" w:line="240" w:lineRule="auto"/>
      <w:tabs>
        <w:tab w:val="center" w:pos="7143" w:leader="none"/>
        <w:tab w:val="right" w:pos="14287" w:leader="none"/>
      </w:tabs>
    </w:pPr>
  </w:style>
  <w:style w:type="paragraph" w:styleId="807">
    <w:name w:val="Header"/>
    <w:basedOn w:val="7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8">
    <w:name w:val="toc 1"/>
    <w:basedOn w:val="785"/>
    <w:next w:val="785"/>
    <w:uiPriority w:val="39"/>
    <w:qFormat/>
  </w:style>
  <w:style w:type="paragraph" w:styleId="809">
    <w:name w:val="toc 4"/>
    <w:basedOn w:val="785"/>
    <w:next w:val="785"/>
    <w:uiPriority w:val="39"/>
    <w:unhideWhenUsed/>
    <w:qFormat/>
    <w:pPr>
      <w:ind w:left="850" w:right="0" w:firstLine="0"/>
      <w:spacing w:after="57"/>
    </w:pPr>
  </w:style>
  <w:style w:type="paragraph" w:styleId="810">
    <w:name w:val="Subtitle"/>
    <w:basedOn w:val="785"/>
    <w:next w:val="785"/>
    <w:link w:val="835"/>
    <w:uiPriority w:val="11"/>
    <w:qFormat/>
    <w:pPr>
      <w:spacing w:before="200" w:after="200"/>
    </w:pPr>
    <w:rPr>
      <w:sz w:val="24"/>
      <w:szCs w:val="24"/>
    </w:rPr>
  </w:style>
  <w:style w:type="paragraph" w:styleId="811">
    <w:name w:val="footnote text"/>
    <w:basedOn w:val="785"/>
    <w:link w:val="968"/>
    <w:uiPriority w:val="99"/>
    <w:semiHidden/>
    <w:unhideWhenUsed/>
    <w:qFormat/>
    <w:pPr>
      <w:spacing w:after="40" w:line="240" w:lineRule="auto"/>
    </w:pPr>
    <w:rPr>
      <w:sz w:val="18"/>
    </w:rPr>
  </w:style>
  <w:style w:type="paragraph" w:styleId="812">
    <w:name w:val="toc 6"/>
    <w:basedOn w:val="785"/>
    <w:next w:val="785"/>
    <w:uiPriority w:val="39"/>
    <w:unhideWhenUsed/>
    <w:qFormat/>
    <w:pPr>
      <w:ind w:left="1417" w:right="0" w:firstLine="0"/>
      <w:spacing w:after="57"/>
    </w:pPr>
  </w:style>
  <w:style w:type="paragraph" w:styleId="813">
    <w:name w:val="table of figures"/>
    <w:basedOn w:val="785"/>
    <w:next w:val="785"/>
    <w:uiPriority w:val="99"/>
    <w:unhideWhenUsed/>
    <w:qFormat/>
    <w:pPr>
      <w:spacing w:after="0" w:afterAutospacing="0"/>
    </w:pPr>
  </w:style>
  <w:style w:type="paragraph" w:styleId="814">
    <w:name w:val="toc 2"/>
    <w:basedOn w:val="785"/>
    <w:next w:val="785"/>
    <w:uiPriority w:val="39"/>
    <w:unhideWhenUsed/>
    <w:qFormat/>
    <w:pPr>
      <w:ind w:left="283" w:right="0" w:firstLine="0"/>
      <w:spacing w:after="57"/>
    </w:pPr>
  </w:style>
  <w:style w:type="paragraph" w:styleId="815">
    <w:name w:val="toc 9"/>
    <w:basedOn w:val="785"/>
    <w:next w:val="785"/>
    <w:uiPriority w:val="39"/>
    <w:unhideWhenUsed/>
    <w:qFormat/>
    <w:pPr>
      <w:ind w:left="2268" w:right="0" w:firstLine="0"/>
      <w:spacing w:after="57"/>
    </w:pPr>
  </w:style>
  <w:style w:type="paragraph" w:styleId="816">
    <w:name w:val="Normal (Web)"/>
    <w:basedOn w:val="785"/>
    <w:uiPriority w:val="99"/>
    <w:qFormat/>
    <w:pPr>
      <w:jc w:val="left"/>
      <w:spacing w:before="100" w:beforeAutospacing="1" w:after="100" w:afterAutospacing="1"/>
      <w:widowControl/>
    </w:pPr>
    <w:rPr>
      <w:rFonts w:ascii="宋体" w:hAnsi="宋体" w:cs="宋体"/>
      <w:sz w:val="24"/>
    </w:rPr>
  </w:style>
  <w:style w:type="paragraph" w:styleId="817">
    <w:name w:val="Title"/>
    <w:basedOn w:val="785"/>
    <w:next w:val="785"/>
    <w:link w:val="834"/>
    <w:uiPriority w:val="10"/>
    <w:qFormat/>
    <w:pPr>
      <w:contextualSpacing/>
      <w:spacing w:before="300" w:after="200"/>
    </w:pPr>
    <w:rPr>
      <w:sz w:val="48"/>
      <w:szCs w:val="48"/>
    </w:rPr>
  </w:style>
  <w:style w:type="table" w:styleId="818">
    <w:name w:val="Table Grid"/>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rPr>
  </w:style>
  <w:style w:type="character" w:styleId="820">
    <w:name w:val="endnote reference"/>
    <w:basedOn w:val="795"/>
    <w:uiPriority w:val="99"/>
    <w:semiHidden/>
    <w:unhideWhenUsed/>
    <w:qFormat/>
    <w:rPr>
      <w:vertAlign w:val="superscript"/>
    </w:rPr>
  </w:style>
  <w:style w:type="character" w:styleId="821">
    <w:name w:val="Emphasis"/>
    <w:basedOn w:val="795"/>
    <w:uiPriority w:val="0"/>
    <w:qFormat/>
    <w:rPr>
      <w:i/>
    </w:rPr>
  </w:style>
  <w:style w:type="character" w:styleId="822">
    <w:name w:val="Hyperlink"/>
    <w:uiPriority w:val="99"/>
    <w:unhideWhenUsed/>
    <w:qFormat/>
    <w:rPr>
      <w:color w:val="0026e5" w:themeColor="hyperlink"/>
      <w:u w:val="single"/>
      <w14:textFill>
        <w14:solidFill>
          <w14:schemeClr w14:val="hlink"/>
        </w14:solidFill>
      </w14:textFill>
    </w:rPr>
  </w:style>
  <w:style w:type="character" w:styleId="823">
    <w:name w:val="footnote reference"/>
    <w:basedOn w:val="795"/>
    <w:uiPriority w:val="99"/>
    <w:unhideWhenUsed/>
    <w:qFormat/>
    <w:rPr>
      <w:vertAlign w:val="superscript"/>
    </w:rPr>
  </w:style>
  <w:style w:type="character" w:styleId="824" w:customStyle="1">
    <w:name w:val="Heading 1 Char"/>
    <w:basedOn w:val="795"/>
    <w:link w:val="786"/>
    <w:uiPriority w:val="9"/>
    <w:qFormat/>
    <w:rPr>
      <w:rFonts w:ascii="Arial" w:hAnsi="Arial" w:eastAsia="Arial" w:cs="Arial"/>
      <w:sz w:val="40"/>
      <w:szCs w:val="40"/>
    </w:rPr>
  </w:style>
  <w:style w:type="character" w:styleId="825" w:customStyle="1">
    <w:name w:val="Heading 2 Char"/>
    <w:basedOn w:val="795"/>
    <w:link w:val="787"/>
    <w:uiPriority w:val="9"/>
    <w:qFormat/>
    <w:rPr>
      <w:rFonts w:ascii="Arial" w:hAnsi="Arial" w:eastAsia="Arial" w:cs="Arial"/>
      <w:sz w:val="34"/>
    </w:rPr>
  </w:style>
  <w:style w:type="character" w:styleId="826" w:customStyle="1">
    <w:name w:val="Heading 3 Char"/>
    <w:basedOn w:val="795"/>
    <w:link w:val="788"/>
    <w:uiPriority w:val="9"/>
    <w:qFormat/>
    <w:rPr>
      <w:rFonts w:ascii="Arial" w:hAnsi="Arial" w:eastAsia="Arial" w:cs="Arial"/>
      <w:sz w:val="30"/>
      <w:szCs w:val="30"/>
    </w:rPr>
  </w:style>
  <w:style w:type="character" w:styleId="827" w:customStyle="1">
    <w:name w:val="Heading 4 Char"/>
    <w:basedOn w:val="795"/>
    <w:link w:val="789"/>
    <w:uiPriority w:val="9"/>
    <w:qFormat/>
    <w:rPr>
      <w:rFonts w:ascii="Arial" w:hAnsi="Arial" w:eastAsia="Arial" w:cs="Arial"/>
      <w:b/>
      <w:bCs/>
      <w:sz w:val="26"/>
      <w:szCs w:val="26"/>
    </w:rPr>
  </w:style>
  <w:style w:type="character" w:styleId="828" w:customStyle="1">
    <w:name w:val="Heading 5 Char"/>
    <w:basedOn w:val="795"/>
    <w:link w:val="790"/>
    <w:uiPriority w:val="9"/>
    <w:qFormat/>
    <w:rPr>
      <w:rFonts w:ascii="Arial" w:hAnsi="Arial" w:eastAsia="Arial" w:cs="Arial"/>
      <w:b/>
      <w:bCs/>
      <w:sz w:val="24"/>
      <w:szCs w:val="24"/>
    </w:rPr>
  </w:style>
  <w:style w:type="character" w:styleId="829" w:customStyle="1">
    <w:name w:val="Heading 6 Char"/>
    <w:basedOn w:val="795"/>
    <w:link w:val="791"/>
    <w:uiPriority w:val="9"/>
    <w:qFormat/>
    <w:rPr>
      <w:rFonts w:ascii="Arial" w:hAnsi="Arial" w:eastAsia="Arial" w:cs="Arial"/>
      <w:b/>
      <w:bCs/>
      <w:sz w:val="22"/>
      <w:szCs w:val="22"/>
    </w:rPr>
  </w:style>
  <w:style w:type="character" w:styleId="830" w:customStyle="1">
    <w:name w:val="Heading 7 Char"/>
    <w:basedOn w:val="795"/>
    <w:link w:val="792"/>
    <w:uiPriority w:val="9"/>
    <w:qFormat/>
    <w:rPr>
      <w:rFonts w:ascii="Arial" w:hAnsi="Arial" w:eastAsia="Arial" w:cs="Arial"/>
      <w:b/>
      <w:bCs/>
      <w:i/>
      <w:iCs/>
      <w:sz w:val="22"/>
      <w:szCs w:val="22"/>
    </w:rPr>
  </w:style>
  <w:style w:type="character" w:styleId="831" w:customStyle="1">
    <w:name w:val="Heading 8 Char"/>
    <w:basedOn w:val="795"/>
    <w:link w:val="793"/>
    <w:uiPriority w:val="9"/>
    <w:qFormat/>
    <w:rPr>
      <w:rFonts w:ascii="Arial" w:hAnsi="Arial" w:eastAsia="Arial" w:cs="Arial"/>
      <w:i/>
      <w:iCs/>
      <w:sz w:val="22"/>
      <w:szCs w:val="22"/>
    </w:rPr>
  </w:style>
  <w:style w:type="character" w:styleId="832" w:customStyle="1">
    <w:name w:val="Heading 9 Char"/>
    <w:basedOn w:val="795"/>
    <w:link w:val="794"/>
    <w:uiPriority w:val="9"/>
    <w:qFormat/>
    <w:rPr>
      <w:rFonts w:ascii="Arial" w:hAnsi="Arial" w:eastAsia="Arial" w:cs="Arial"/>
      <w:i/>
      <w:iCs/>
      <w:sz w:val="21"/>
      <w:szCs w:val="21"/>
    </w:rPr>
  </w:style>
  <w:style w:type="paragraph" w:styleId="833">
    <w:name w:val="No Spacing"/>
    <w:uiPriority w:val="1"/>
    <w:qFormat/>
    <w:pPr>
      <w:spacing w:before="0" w:after="0" w:line="240" w:lineRule="auto"/>
    </w:pPr>
    <w:rPr>
      <w:rFonts w:hint="default" w:asciiTheme="minorHAnsi" w:hAnsiTheme="minorHAnsi" w:eastAsiaTheme="minorEastAsia" w:cstheme="minorBidi"/>
    </w:rPr>
  </w:style>
  <w:style w:type="character" w:styleId="834" w:customStyle="1">
    <w:name w:val="Title Char"/>
    <w:basedOn w:val="795"/>
    <w:link w:val="817"/>
    <w:uiPriority w:val="10"/>
    <w:qFormat/>
    <w:rPr>
      <w:sz w:val="48"/>
      <w:szCs w:val="48"/>
    </w:rPr>
  </w:style>
  <w:style w:type="character" w:styleId="835" w:customStyle="1">
    <w:name w:val="Subtitle Char"/>
    <w:basedOn w:val="795"/>
    <w:link w:val="810"/>
    <w:uiPriority w:val="11"/>
    <w:qFormat/>
    <w:rPr>
      <w:sz w:val="24"/>
      <w:szCs w:val="24"/>
    </w:rPr>
  </w:style>
  <w:style w:type="paragraph" w:styleId="836">
    <w:name w:val="Quote"/>
    <w:basedOn w:val="785"/>
    <w:next w:val="785"/>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85"/>
    <w:next w:val="785"/>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95"/>
    <w:uiPriority w:val="99"/>
    <w:qFormat/>
  </w:style>
  <w:style w:type="character" w:styleId="841" w:customStyle="1">
    <w:name w:val="Footer Char"/>
    <w:basedOn w:val="795"/>
    <w:uiPriority w:val="99"/>
    <w:qFormat/>
  </w:style>
  <w:style w:type="character" w:styleId="842" w:customStyle="1">
    <w:name w:val="Caption Char"/>
    <w:uiPriority w:val="99"/>
    <w:qFormat/>
  </w:style>
  <w:style w:type="table" w:styleId="843"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9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2" w:customStyle="1">
    <w:name w:val="Grid Table 4 - Accent 2"/>
    <w:basedOn w:val="79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3" w:customStyle="1">
    <w:name w:val="Grid Table 4 - Accent 3"/>
    <w:basedOn w:val="79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4" w:customStyle="1">
    <w:name w:val="Grid Table 4 - Accent 4"/>
    <w:basedOn w:val="79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5" w:customStyle="1">
    <w:name w:val="Grid Table 4 - Accent 5"/>
    <w:basedOn w:val="79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6" w:customStyle="1">
    <w:name w:val="Grid Table 4 - Accent 6"/>
    <w:basedOn w:val="79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7"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9"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0"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1"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2"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3"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4"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9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9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9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0" w:customStyle="1">
    <w:name w:val="Grid Table 6 Colorful - Accent 6"/>
    <w:basedOn w:val="79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9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9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9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9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9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9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9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9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9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9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9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9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5"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9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7" w:customStyle="1">
    <w:name w:val="List Table 2 - Accent 2"/>
    <w:basedOn w:val="79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8" w:customStyle="1">
    <w:name w:val="List Table 2 - Accent 3"/>
    <w:basedOn w:val="79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9" w:customStyle="1">
    <w:name w:val="List Table 2 - Accent 4"/>
    <w:basedOn w:val="79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0" w:customStyle="1">
    <w:name w:val="List Table 2 - Accent 5"/>
    <w:basedOn w:val="79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1" w:customStyle="1">
    <w:name w:val="List Table 2 - Accent 6"/>
    <w:basedOn w:val="79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2"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9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3 - Accent 2"/>
    <w:basedOn w:val="7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9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9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9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9"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9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1" w:customStyle="1">
    <w:name w:val="List Table 4 - Accent 2"/>
    <w:basedOn w:val="79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2" w:customStyle="1">
    <w:name w:val="List Table 4 - Accent 3"/>
    <w:basedOn w:val="79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3" w:customStyle="1">
    <w:name w:val="List Table 4 - Accent 4"/>
    <w:basedOn w:val="79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4" w:customStyle="1">
    <w:name w:val="List Table 4 - Accent 5"/>
    <w:basedOn w:val="79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5" w:customStyle="1">
    <w:name w:val="List Table 4 - Accent 6"/>
    <w:basedOn w:val="79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6"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9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9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9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9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9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9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9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5" w:customStyle="1">
    <w:name w:val="List Table 6 Colorful - Accent 2"/>
    <w:basedOn w:val="79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6" w:customStyle="1">
    <w:name w:val="List Table 6 Colorful - Accent 3"/>
    <w:basedOn w:val="79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7" w:customStyle="1">
    <w:name w:val="List Table 6 Colorful - Accent 4"/>
    <w:basedOn w:val="79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8" w:customStyle="1">
    <w:name w:val="List Table 6 Colorful - Accent 5"/>
    <w:basedOn w:val="79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9" w:customStyle="1">
    <w:name w:val="List Table 6 Colorful - Accent 6"/>
    <w:basedOn w:val="79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0"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9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9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9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9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9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9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9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6" w:customStyle="1">
    <w:name w:val="Bordered &amp; Lined - Accent 2"/>
    <w:basedOn w:val="79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7" w:customStyle="1">
    <w:name w:val="Bordered &amp; Lined - Accent 3"/>
    <w:basedOn w:val="79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8" w:customStyle="1">
    <w:name w:val="Bordered &amp; Lined - Accent 4"/>
    <w:basedOn w:val="79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9" w:customStyle="1">
    <w:name w:val="Bordered &amp; Lined - Accent 5"/>
    <w:basedOn w:val="79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0" w:customStyle="1">
    <w:name w:val="Bordered &amp; Lined - Accent 6"/>
    <w:basedOn w:val="79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1"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3" w:customStyle="1">
    <w:name w:val="Bordered - Accent 2"/>
    <w:basedOn w:val="7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4" w:customStyle="1">
    <w:name w:val="Bordered - Accent 3"/>
    <w:basedOn w:val="7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5" w:customStyle="1">
    <w:name w:val="Bordered - Accent 4"/>
    <w:basedOn w:val="7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6" w:customStyle="1">
    <w:name w:val="Bordered - Accent 5"/>
    <w:basedOn w:val="7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7" w:customStyle="1">
    <w:name w:val="Bordered - Accent 6"/>
    <w:basedOn w:val="7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8" w:customStyle="1">
    <w:name w:val="Footnote Text Char"/>
    <w:link w:val="811"/>
    <w:uiPriority w:val="99"/>
    <w:qFormat/>
    <w:rPr>
      <w:sz w:val="18"/>
    </w:rPr>
  </w:style>
  <w:style w:type="character" w:styleId="969" w:customStyle="1">
    <w:name w:val="Endnote Text Char"/>
    <w:link w:val="805"/>
    <w:uiPriority w:val="99"/>
    <w:qFormat/>
    <w:rPr>
      <w:sz w:val="20"/>
    </w:rPr>
  </w:style>
  <w:style w:type="paragraph" w:styleId="970" w:customStyle="1">
    <w:name w:val="TOC Heading"/>
    <w:uiPriority w:val="39"/>
    <w:unhideWhenUsed/>
    <w:qFormat/>
    <w:rPr>
      <w:rFonts w:hint="default" w:asciiTheme="minorHAnsi" w:hAnsiTheme="minorHAnsi" w:eastAsiaTheme="minorEastAsia" w:cstheme="minorBidi"/>
    </w:rPr>
  </w:style>
  <w:style w:type="paragraph" w:styleId="971" w:customStyle="1">
    <w:name w:val="正文11"/>
    <w:next w:val="972"/>
    <w:uiPriority w:val="0"/>
    <w:qFormat/>
    <w:pPr>
      <w:jc w:val="both"/>
      <w:widowControl w:val="off"/>
    </w:pPr>
    <w:rPr>
      <w:rFonts w:hint="default" w:ascii="Calibri" w:hAnsi="Calibri" w:eastAsia="宋体" w:cs="Times New Roman"/>
      <w:sz w:val="21"/>
      <w:szCs w:val="24"/>
      <w:lang w:val="en-US" w:eastAsia="zh-CN" w:bidi="ar-SA"/>
    </w:rPr>
  </w:style>
  <w:style w:type="paragraph" w:styleId="972" w:customStyle="1">
    <w:name w:val="目录 11"/>
    <w:basedOn w:val="785"/>
    <w:next w:val="971"/>
    <w:uiPriority w:val="39"/>
    <w:unhideWhenUsed/>
    <w:qFormat/>
    <w:pPr>
      <w:jc w:val="left"/>
      <w:spacing w:after="100" w:line="259" w:lineRule="auto"/>
      <w:widowControl/>
    </w:pPr>
    <w:rPr>
      <w:rFonts w:ascii="Calibri" w:hAnsi="Calibri"/>
      <w:sz w:val="22"/>
      <w:szCs w:val="22"/>
    </w:rPr>
  </w:style>
  <w:style w:type="paragraph" w:styleId="973" w:customStyle="1">
    <w:name w:val="页脚1"/>
    <w:basedOn w:val="971"/>
    <w:uiPriority w:val="0"/>
    <w:qFormat/>
    <w:pPr>
      <w:jc w:val="left"/>
      <w:tabs>
        <w:tab w:val="center" w:pos="4153" w:leader="none"/>
        <w:tab w:val="right" w:pos="8306" w:leader="none"/>
      </w:tabs>
    </w:pPr>
    <w:rPr>
      <w:sz w:val="18"/>
      <w:szCs w:val="18"/>
    </w:rPr>
  </w:style>
  <w:style w:type="paragraph" w:styleId="974" w:customStyle="1">
    <w:name w:val="普通(网站)1"/>
    <w:basedOn w:val="785"/>
    <w:uiPriority w:val="0"/>
    <w:qFormat/>
    <w:pPr>
      <w:jc w:val="left"/>
      <w:spacing w:before="100" w:beforeAutospacing="1" w:after="100" w:afterAutospacing="1"/>
      <w:widowControl/>
    </w:pPr>
    <w:rPr>
      <w:rFonts w:ascii="宋体" w:hAnsi="宋体" w:cs="宋体"/>
      <w:sz w:val="24"/>
    </w:rPr>
  </w:style>
  <w:style w:type="paragraph" w:styleId="975" w:customStyle="1">
    <w:name w:val="正文文本1"/>
    <w:basedOn w:val="976"/>
    <w:next w:val="983"/>
    <w:uiPriority w:val="0"/>
    <w:qFormat/>
    <w:pPr>
      <w:spacing w:after="120"/>
    </w:pPr>
  </w:style>
  <w:style w:type="paragraph" w:styleId="976" w:customStyle="1">
    <w:name w:val="正文12"/>
    <w:next w:val="977"/>
    <w:uiPriority w:val="0"/>
    <w:qFormat/>
    <w:rPr>
      <w:rFonts w:hint="default" w:ascii="Times New Roman" w:hAnsi="Times New Roman" w:eastAsia="宋体" w:cs="Times New Roman"/>
      <w:lang w:val="en-US" w:eastAsia="zh-CN" w:bidi="ar-SA"/>
    </w:rPr>
  </w:style>
  <w:style w:type="paragraph" w:styleId="977" w:customStyle="1">
    <w:name w:val="正文文本11"/>
    <w:basedOn w:val="978"/>
    <w:next w:val="983"/>
    <w:uiPriority w:val="0"/>
    <w:qFormat/>
    <w:pPr>
      <w:ind w:left="1540"/>
    </w:pPr>
    <w:rPr>
      <w:sz w:val="24"/>
      <w:szCs w:val="24"/>
    </w:rPr>
  </w:style>
  <w:style w:type="paragraph" w:styleId="978" w:customStyle="1">
    <w:name w:val="正文121"/>
    <w:next w:val="979"/>
    <w:uiPriority w:val="0"/>
    <w:qFormat/>
    <w:rPr>
      <w:rFonts w:hint="default" w:ascii="Times New Roman" w:hAnsi="Times New Roman" w:eastAsia="宋体" w:cs="Times New Roman"/>
    </w:rPr>
  </w:style>
  <w:style w:type="paragraph" w:styleId="979" w:customStyle="1">
    <w:name w:val="正文首行缩进 211"/>
    <w:basedOn w:val="980"/>
    <w:next w:val="978"/>
    <w:uiPriority w:val="0"/>
    <w:qFormat/>
    <w:pPr>
      <w:ind w:firstLine="420"/>
    </w:pPr>
    <w:rPr>
      <w:rFonts w:ascii="Times New Roman" w:hAnsi="Times New Roman" w:eastAsia="宋体"/>
      <w:sz w:val="24"/>
      <w:szCs w:val="24"/>
    </w:rPr>
  </w:style>
  <w:style w:type="paragraph" w:styleId="980" w:customStyle="1">
    <w:name w:val="正文文本缩进111"/>
    <w:basedOn w:val="978"/>
    <w:next w:val="981"/>
    <w:uiPriority w:val="0"/>
    <w:qFormat/>
    <w:pPr>
      <w:ind w:firstLine="538"/>
    </w:pPr>
    <w:rPr>
      <w:sz w:val="28"/>
    </w:rPr>
  </w:style>
  <w:style w:type="paragraph" w:styleId="981" w:customStyle="1">
    <w:name w:val="样式 正文文本缩进 + 首行缩进:  2 字符 行距: 1.5 倍行距"/>
    <w:basedOn w:val="982"/>
    <w:uiPriority w:val="0"/>
    <w:qFormat/>
    <w:pPr>
      <w:ind w:firstLine="645"/>
      <w:spacing w:before="156"/>
    </w:pPr>
    <w:rPr>
      <w:rFonts w:ascii="Calibri" w:hAnsi="Calibri"/>
      <w:sz w:val="28"/>
    </w:rPr>
  </w:style>
  <w:style w:type="paragraph" w:styleId="982" w:customStyle="1">
    <w:name w:val="正文文本缩进1"/>
    <w:basedOn w:val="971"/>
    <w:next w:val="981"/>
    <w:uiPriority w:val="0"/>
    <w:qFormat/>
    <w:pPr>
      <w:ind w:left="420"/>
      <w:spacing w:after="120"/>
    </w:pPr>
    <w:rPr>
      <w:lang w:val="en-US" w:eastAsia="en-US"/>
    </w:rPr>
  </w:style>
  <w:style w:type="paragraph" w:styleId="983" w:customStyle="1">
    <w:name w:val="一级条标题"/>
    <w:basedOn w:val="984"/>
    <w:next w:val="985"/>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984"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5" w:customStyle="1">
    <w:name w:val="段"/>
    <w:basedOn w:val="986"/>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986" w:customStyle="1">
    <w:name w:val="正文1"/>
    <w:basedOn w:val="987"/>
    <w:next w:val="99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87"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缩进11"/>
    <w:basedOn w:val="976"/>
    <w:next w:val="989"/>
    <w:uiPriority w:val="0"/>
    <w:qFormat/>
    <w:pPr>
      <w:ind w:left="420"/>
      <w:spacing w:after="120"/>
    </w:pPr>
    <w:rPr>
      <w:rFonts w:ascii="Arial" w:hAnsi="Arial" w:eastAsia="Arial"/>
    </w:rPr>
  </w:style>
  <w:style w:type="paragraph" w:styleId="989" w:customStyle="1">
    <w:name w:val="寄信人地址1"/>
    <w:uiPriority w:val="0"/>
    <w:qFormat/>
    <w:pPr>
      <w:ind w:firstLine="200"/>
      <w:jc w:val="both"/>
      <w:widowControl w:val="off"/>
    </w:pPr>
    <w:rPr>
      <w:rFonts w:hint="default" w:ascii="Arial" w:hAnsi="Arial" w:eastAsia="仿宋_GB2312" w:cs="Times New Roman"/>
      <w:sz w:val="21"/>
      <w:szCs w:val="24"/>
      <w:lang w:val="en-US" w:eastAsia="zh-CN" w:bidi="ar-SA"/>
    </w:rPr>
  </w:style>
  <w:style w:type="paragraph" w:styleId="990" w:customStyle="1">
    <w:name w:val="标题 21"/>
    <w:basedOn w:val="971"/>
    <w:next w:val="971"/>
    <w:uiPriority w:val="9"/>
    <w:unhideWhenUsed/>
    <w:qFormat/>
    <w:pPr>
      <w:keepLines/>
      <w:keepNext/>
      <w:spacing w:before="360" w:after="200"/>
      <w:outlineLvl w:val="1"/>
    </w:pPr>
    <w:rPr>
      <w:rFonts w:ascii="Arial" w:hAnsi="Arial" w:eastAsia="Arial"/>
      <w:sz w:val="34"/>
      <w:szCs w:val="20"/>
      <w:lang w:val="en-US" w:eastAsia="en-US"/>
    </w:rPr>
  </w:style>
  <w:style w:type="character" w:styleId="991" w:customStyle="1">
    <w:name w:val="19"/>
    <w:basedOn w:val="795"/>
    <w:uiPriority w:val="0"/>
    <w:qFormat/>
    <w:rPr>
      <w:rFonts w:hint="default" w:ascii="Calibri" w:hAnsi="Calibri" w:cs="Calibri"/>
      <w:color w:val="000000"/>
      <w:sz w:val="21"/>
      <w:szCs w:val="21"/>
    </w:rPr>
  </w:style>
  <w:style w:type="character" w:styleId="992" w:customStyle="1">
    <w:name w:val="18"/>
    <w:basedOn w:val="795"/>
    <w:uiPriority w:val="0"/>
    <w:qFormat/>
    <w:rPr>
      <w:rFonts w:hint="eastAsia" w:ascii="宋体" w:hAnsi="宋体" w:eastAsia="宋体"/>
      <w:color w:val="000000"/>
      <w:sz w:val="21"/>
      <w:szCs w:val="21"/>
    </w:rPr>
  </w:style>
  <w:style w:type="character" w:styleId="993" w:customStyle="1">
    <w:name w:val="17"/>
    <w:basedOn w:val="795"/>
    <w:uiPriority w:val="0"/>
    <w:qFormat/>
    <w:rPr>
      <w:rFonts w:hint="default" w:ascii="Times New Roman" w:hAnsi="Times New Roman" w:cs="Times New Roman"/>
      <w:color w:val="000000"/>
      <w:sz w:val="28"/>
      <w:szCs w:val="28"/>
    </w:rPr>
  </w:style>
  <w:style w:type="character" w:styleId="994" w:customStyle="1">
    <w:name w:val="titlebody"/>
    <w:uiPriority w:val="0"/>
    <w:qFormat/>
    <w:rPr>
      <w:rFonts w:ascii="宋体" w:hAnsi="宋体" w:eastAsia="宋体" w:cs="宋体"/>
      <w:b/>
      <w:bCs/>
      <w:color w:val="000000"/>
      <w:sz w:val="24"/>
      <w:szCs w:val="24"/>
    </w:rPr>
  </w:style>
  <w:style w:type="paragraph" w:styleId="995" w:customStyle="1">
    <w:name w:val="目录 111"/>
    <w:basedOn w:val="785"/>
    <w:next w:val="785"/>
    <w:uiPriority w:val="39"/>
    <w:unhideWhenUsed/>
    <w:qFormat/>
    <w:pPr>
      <w:jc w:val="left"/>
      <w:spacing w:after="100" w:line="259" w:lineRule="auto"/>
      <w:widowControl/>
    </w:pPr>
    <w:rPr>
      <w:rFonts w:ascii="Calibri" w:hAnsi="Calibri"/>
      <w:sz w:val="22"/>
      <w:szCs w:val="22"/>
    </w:rPr>
  </w:style>
  <w:style w:type="paragraph" w:styleId="99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8" w:customStyle="1">
    <w:name w:val="列出段落1"/>
    <w:basedOn w:val="785"/>
    <w:uiPriority w:val="99"/>
    <w:qFormat/>
    <w:pPr>
      <w:ind w:firstLine="420"/>
    </w:pPr>
    <w:rPr>
      <w:szCs w:val="21"/>
    </w:rPr>
  </w:style>
  <w:style w:type="paragraph" w:styleId="999" w:customStyle="1">
    <w:name w:val="纯文本1"/>
    <w:basedOn w:val="785"/>
    <w:uiPriority w:val="0"/>
    <w:qFormat/>
    <w:rPr>
      <w:rFonts w:ascii="宋体" w:hAnsi="Courier New"/>
      <w:szCs w:val="21"/>
      <w:lang w:val="en-US" w:eastAsia="en-US"/>
    </w:rPr>
  </w:style>
  <w:style w:type="paragraph" w:styleId="1000" w:customStyle="1">
    <w:name w:val="文本块1"/>
    <w:basedOn w:val="986"/>
    <w:next w:val="1001"/>
    <w:uiPriority w:val="6"/>
    <w:qFormat/>
    <w:pPr>
      <w:ind w:left="256" w:right="6" w:firstLine="624"/>
    </w:pPr>
    <w:rPr>
      <w:rFonts w:eastAsia="仿宋"/>
      <w:sz w:val="28"/>
      <w:szCs w:val="20"/>
    </w:rPr>
  </w:style>
  <w:style w:type="paragraph" w:styleId="1001" w:customStyle="1">
    <w:name w:val="标题 41"/>
    <w:basedOn w:val="971"/>
    <w:next w:val="971"/>
    <w:uiPriority w:val="0"/>
    <w:qFormat/>
    <w:pPr>
      <w:keepLines/>
      <w:keepNext/>
      <w:spacing w:before="120" w:after="120"/>
      <w:outlineLvl w:val="3"/>
    </w:pPr>
    <w:rPr>
      <w:rFonts w:ascii="Arial" w:hAnsi="Arial" w:eastAsia="黑体"/>
      <w:b/>
      <w:sz w:val="20"/>
      <w:szCs w:val="20"/>
    </w:rPr>
  </w:style>
  <w:style w:type="character" w:styleId="1002" w:customStyle="1">
    <w:name w:val="页码1"/>
    <w:link w:val="785"/>
    <w:uiPriority w:val="0"/>
    <w:qFormat/>
    <w:rPr>
      <w:rFonts w:hint="default" w:ascii="Times New Roman" w:hAnsi="Times New Roman" w:eastAsia="宋体" w:cs="Times New Roman"/>
      <w:sz w:val="21"/>
      <w:szCs w:val="24"/>
      <w:lang w:val="en-US" w:eastAsia="zh-CN" w:bidi="ar-SA"/>
    </w:rPr>
  </w:style>
  <w:style w:type="paragraph" w:styleId="1003">
    <w:name w:val="List Paragraph"/>
    <w:basedOn w:val="785"/>
    <w:uiPriority w:val="34"/>
    <w:qFormat/>
    <w:pPr>
      <w:contextualSpacing/>
      <w:ind w:left="720"/>
    </w:pPr>
  </w:style>
  <w:style w:type="character" w:styleId="1004" w:customStyle="1">
    <w:name w:val="NormalCharacter"/>
    <w:uiPriority w:val="0"/>
    <w:semiHidden/>
    <w:qFormat/>
    <w:rPr>
      <w:sz w:val="28"/>
      <w:lang w:val="en-US" w:eastAsia="zh-CN" w:bidi="ar-SA"/>
    </w:rPr>
  </w:style>
  <w:style w:type="paragraph" w:styleId="1005" w:customStyle="1">
    <w:name w:val="正文112"/>
    <w:next w:val="1006"/>
    <w:uiPriority w:val="0"/>
    <w:qFormat/>
    <w:pPr>
      <w:jc w:val="both"/>
      <w:widowControl w:val="off"/>
    </w:pPr>
    <w:rPr>
      <w:rFonts w:hint="default" w:ascii="Calibri" w:hAnsi="Calibri" w:eastAsia="宋体" w:cs="Times New Roman"/>
      <w:sz w:val="21"/>
      <w:szCs w:val="24"/>
      <w:lang w:val="en-US" w:eastAsia="zh-CN" w:bidi="ar-SA"/>
    </w:rPr>
  </w:style>
  <w:style w:type="paragraph" w:styleId="1006" w:customStyle="1">
    <w:name w:val="无间隔1"/>
    <w:basedOn w:val="785"/>
    <w:uiPriority w:val="0"/>
    <w:qFormat/>
    <w:pPr>
      <w:ind w:left="0" w:right="0"/>
      <w:jc w:val="left"/>
      <w:keepLines w:val="0"/>
      <w:keepNext w:val="0"/>
      <w:spacing w:before="0" w:beforeAutospacing="0" w:after="0" w:afterAutospacing="0"/>
      <w:widowControl/>
      <w:suppressLineNumbers w:val="0"/>
    </w:pPr>
    <w:rPr>
      <w:rFonts w:hint="default" w:ascii="Times New Roman" w:hAnsi="Times New Roman" w:eastAsia="宋体" w:cs="Times New Roman"/>
      <w:sz w:val="22"/>
      <w:szCs w:val="22"/>
      <w:lang w:val="en-US" w:eastAsia="zh-CN" w:bidi="ar"/>
    </w:rPr>
  </w:style>
  <w:style w:type="paragraph" w:styleId="1007" w:customStyle="1">
    <w:name w:val="正文113"/>
    <w:next w:val="100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08" w:customStyle="1">
    <w:name w:val="BodyText1I2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孙玉琦</cp:lastModifiedBy>
  <cp:revision>11</cp:revision>
  <dcterms:created xsi:type="dcterms:W3CDTF">2024-11-25T04:20:00Z</dcterms:created>
  <dcterms:modified xsi:type="dcterms:W3CDTF">2025-12-03T02:42:54Z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360D7B0E270646548AABBF837F858552_13</vt:lpwstr>
  </property>
  <property fmtid="{D5CDD505-2E9C-101B-9397-08002B2CF9AE}" pid="4" name="KSOTemplateDocerSaveRecord">
    <vt:lpwstr>eyJoZGlkIjoiODVlZjA1NDIyYjVhNDcxNjkxNzE5ZjgyYzQ1YjFhY2QiLCJ1c2VySWQiOiIzOTg0NjQxMDYifQ==</vt:lpwstr>
  </property>
</Properties>
</file>